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Document.xml" ContentType="application/vnd.openxmlformats-officedocument.wordprocessingml.commentsIds+xml"/>
  <Override PartName="/word/commentsExtensibleDocument.xml" ContentType="application/vnd.openxmlformats-officedocument.wordprocessingml.commentsExtensible+xml"/>
  <Override PartName="/word/commentsExtendedDocument.xml" ContentType="application/vnd.openxmlformats-officedocument.wordprocessingml.commentsExtended+xml"/>
  <Override PartName="/word/commentsDocument.xml" ContentType="application/vnd.openxmlformats-officedocument.wordprocessingml.comment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</w:pPr>
      <w:r>
        <w:rPr>
          <w:rFonts w:ascii="Times New Roman" w:hAnsi="Times New Roman" w:eastAsia="Times New Roman" w:cs="Times New Roman"/>
          <w:b/>
          <w:color w:val="000000"/>
        </w:rPr>
        <w:t xml:space="preserve">Чек-лист проверки выполнения </w:t>
      </w:r>
      <w:r>
        <w:rPr>
          <w:rFonts w:ascii="Times New Roman" w:hAnsi="Times New Roman"/>
          <w:b/>
          <w:bCs/>
          <w:u w:val="single"/>
        </w:rPr>
        <w:t xml:space="preserve">дошкольными </w:t>
      </w:r>
      <w:r>
        <w:rPr>
          <w:rFonts w:ascii="Times New Roman" w:hAnsi="Times New Roman"/>
          <w:b/>
          <w:bCs/>
          <w:u w:val="single"/>
        </w:rPr>
        <w:t xml:space="preserve">образовательными </w:t>
      </w:r>
      <w:r>
        <w:rPr>
          <w:rFonts w:ascii="Times New Roman" w:hAnsi="Times New Roman"/>
          <w:b/>
          <w:bCs/>
          <w:color w:val="000000"/>
          <w:u w:val="single"/>
        </w:rPr>
        <w:t xml:space="preserve">организациями</w:t>
      </w:r>
      <w:r>
        <w:rPr>
          <w:rFonts w:ascii="Times New Roman" w:hAnsi="Times New Roman" w:eastAsia="Times New Roman" w:cs="Times New Roman"/>
          <w:b/>
          <w:bCs/>
          <w:color w:val="000000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eastAsia="Times New Roman" w:cs="Times New Roman"/>
          <w:b/>
          <w:color w:val="000000"/>
        </w:rPr>
        <w:t xml:space="preserve"> показателя 1.1. Соответствие информации о деятельности организации, размещенной на общедоступных информационных ресурсах, ее содержанию и порядку (форме) размещения, установленным нормативными правовыми актами</w:t>
      </w:r>
      <w:r>
        <w:rPr>
          <w:rFonts w:ascii="Times New Roman" w:hAnsi="Times New Roman" w:eastAsia="Times New Roman" w:cs="Times New Roman"/>
          <w:b/>
          <w:color w:val="000000"/>
        </w:rPr>
        <w:t xml:space="preserve">:</w:t>
      </w:r>
      <w:r>
        <w:rPr>
          <w:rFonts w:ascii="Times New Roman" w:hAnsi="Times New Roman" w:eastAsia="Times New Roman" w:cs="Times New Roman"/>
          <w:b/>
          <w:bCs/>
          <w:color w:val="000000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eastAsia="Times New Roman" w:cs="Times New Roman"/>
          <w:b/>
          <w:color w:val="000000"/>
        </w:rPr>
        <w:t xml:space="preserve">на официальном сайте организации в инф</w:t>
      </w:r>
      <w:r>
        <w:rPr>
          <w:rFonts w:ascii="Times New Roman" w:hAnsi="Times New Roman" w:eastAsia="Times New Roman" w:cs="Times New Roman"/>
          <w:b/>
          <w:color w:val="000000"/>
        </w:rPr>
        <w:t xml:space="preserve">ормационно-телекоммуникационной </w:t>
      </w:r>
      <w:r>
        <w:rPr>
          <w:rFonts w:ascii="Times New Roman" w:hAnsi="Times New Roman" w:eastAsia="Times New Roman" w:cs="Times New Roman"/>
          <w:b/>
          <w:color w:val="000000"/>
        </w:rPr>
        <w:t xml:space="preserve">сети </w:t>
      </w:r>
      <w:r>
        <w:rPr>
          <w:rFonts w:ascii="Times New Roman" w:hAnsi="Times New Roman" w:eastAsia="Times New Roman" w:cs="Times New Roman"/>
          <w:b/>
          <w:color w:val="000000"/>
        </w:rPr>
        <w:t xml:space="preserve">«</w:t>
      </w:r>
      <w:r>
        <w:rPr>
          <w:rFonts w:ascii="Times New Roman" w:hAnsi="Times New Roman" w:eastAsia="Times New Roman" w:cs="Times New Roman"/>
          <w:b/>
          <w:color w:val="000000"/>
        </w:rPr>
        <w:t xml:space="preserve">Интернет</w:t>
      </w:r>
      <w:r>
        <w:rPr>
          <w:rFonts w:ascii="Times New Roman" w:hAnsi="Times New Roman" w:eastAsia="Times New Roman" w:cs="Times New Roman"/>
          <w:b/>
          <w:color w:val="000000"/>
        </w:rPr>
        <w:t xml:space="preserve">»</w:t>
      </w:r>
      <w:r>
        <w:rPr>
          <w:rFonts w:ascii="Times New Roman" w:hAnsi="Times New Roman" w:eastAsia="Times New Roman" w:cs="Times New Roman"/>
          <w:b/>
          <w:bCs/>
          <w:color w:val="000000"/>
          <w:highlight w:val="none"/>
        </w:rPr>
      </w:r>
      <w:r/>
    </w:p>
    <w:p>
      <w:pPr>
        <w:ind w:left="709" w:right="0" w:hanging="709"/>
        <w:jc w:val="center"/>
        <w:spacing w:after="0" w:line="276" w:lineRule="auto"/>
        <w:widowControl w:val="off"/>
      </w:pPr>
      <w:r>
        <w:rPr>
          <w:rFonts w:ascii="Times New Roman" w:hAnsi="Times New Roman" w:cs="Times New Roman"/>
          <w:sz w:val="18"/>
          <w:szCs w:val="18"/>
          <w:highlight w:val="none"/>
        </w:rPr>
        <w:t xml:space="preserve">(разработан на основании Приложения 2 к Порядку действий в рамках сбора информации о качестве условий оказания услуг Методических реком</w:t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ендаций по организации работы в рамках проведения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экспертизы, утвержденных приказом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Минтруда России от 28.12.2023 года № 899, и Методических рекомендаций 2025 года к единому порядку расчета показателей независимой оценки качества условий осуществления образовательной деятельности организациями, осуществляющими образователь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ную деятельность по основным общеобразовательным программам, образовательным программам среднего профессионального образования, основным программам профессионального обучения, дополнительным общеобразовательным программам (с учетом отраслевых особенностей)</w:t>
      </w:r>
      <w:r>
        <w:rPr>
          <w:rFonts w:ascii="Times New Roman" w:hAnsi="Times New Roman" w:cs="Times New Roman"/>
          <w:sz w:val="18"/>
          <w:szCs w:val="18"/>
          <w:highlight w:val="none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eastAsia="Times New Roman" w:cs="Times New Roman"/>
          <w:b/>
          <w:color w:val="000000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</w:rPr>
      </w:r>
      <w:r/>
    </w:p>
    <w:p>
      <w:pPr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color w:val="000000"/>
        </w:rPr>
        <w:t xml:space="preserve">ФИО эксперта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footnoteReference w:id="2"/>
      </w:r>
      <w:r>
        <w:rPr>
          <w:rFonts w:ascii="Times New Roman" w:hAnsi="Times New Roman" w:eastAsia="Times New Roman" w:cs="Times New Roman"/>
          <w:color w:val="000000"/>
        </w:rPr>
        <w:t xml:space="preserve">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</w:rPr>
      </w:r>
      <w:r/>
    </w:p>
    <w:p>
      <w:pPr>
        <w:spacing w:after="0" w:line="240" w:lineRule="auto"/>
      </w:pPr>
      <w:r>
        <w:rPr>
          <w:rFonts w:ascii="Times New Roman" w:hAnsi="Times New Roman" w:eastAsia="Times New Roman" w:cs="Times New Roman"/>
          <w:color w:val="000000"/>
        </w:rPr>
        <w:t xml:space="preserve">Наименование организации ______________________________________________________</w:t>
      </w:r>
      <w:r>
        <w:rPr>
          <w:rFonts w:ascii="Times New Roman" w:hAnsi="Times New Roman" w:eastAsia="Times New Roman" w:cs="Times New Roman"/>
          <w:color w:val="000000"/>
        </w:rPr>
      </w:r>
      <w:r/>
    </w:p>
    <w:p>
      <w:pPr>
        <w:jc w:val="center"/>
        <w:spacing w:after="0" w:line="240" w:lineRule="auto"/>
      </w:pPr>
      <w:r>
        <w:rPr>
          <w:rFonts w:ascii="Times New Roman" w:hAnsi="Times New Roman" w:eastAsia="Times New Roman" w:cs="Times New Roman"/>
          <w:i/>
          <w:color w:val="000000"/>
        </w:rPr>
        <w:t xml:space="preserve">Проставьте соответствующие баллы в пустых ячейках формы </w:t>
      </w:r>
      <w:r>
        <w:rPr>
          <w:rFonts w:ascii="Times New Roman" w:hAnsi="Times New Roman" w:eastAsia="Times New Roman" w:cs="Times New Roman"/>
          <w:i/>
          <w:color w:val="000000"/>
        </w:rPr>
      </w:r>
      <w:r/>
    </w:p>
    <w:tbl>
      <w:tblPr>
        <w:tblStyle w:val="1319"/>
        <w:tblW w:w="15600" w:type="dxa"/>
        <w:tblInd w:w="-4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5811"/>
        <w:gridCol w:w="966"/>
        <w:gridCol w:w="1728"/>
        <w:gridCol w:w="1985"/>
        <w:gridCol w:w="1701"/>
        <w:gridCol w:w="27"/>
        <w:gridCol w:w="1114"/>
        <w:gridCol w:w="7"/>
        <w:gridCol w:w="2249"/>
        <w:gridCol w:w="6"/>
        <w:gridCol w:w="6"/>
      </w:tblGrid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811" w:type="dxa"/>
            <w:vAlign w:val="center"/>
            <w:vMerge w:val="restart"/>
            <w:textDirection w:val="lrTb"/>
            <w:noWrap w:val="false"/>
          </w:tcPr>
          <w:p>
            <w:pPr>
              <w:ind w:left="-66" w:right="-36"/>
              <w:jc w:val="center"/>
              <w:spacing w:after="0" w:line="216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Перечень информации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vertAlign w:val="superscript"/>
              </w:rPr>
              <w:footnoteReference w:id="3"/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  <w:p>
            <w:pPr>
              <w:ind w:left="-66" w:right="-36"/>
              <w:jc w:val="center"/>
              <w:spacing w:after="0" w:line="216" w:lineRule="auto"/>
              <w:widowControl w:val="off"/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r>
            <w:r/>
          </w:p>
          <w:p>
            <w:pPr>
              <w:ind w:left="-66" w:right="-36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gridSpan w:val="9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783" w:type="dxa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На официальном сайте организации в сети «Интернет»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81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textDirection w:val="lrTb"/>
            <w:noWrap w:val="false"/>
          </w:tcPr>
          <w:p>
            <w:pPr>
              <w:ind w:left="-120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установ-ленное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требование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textDirection w:val="lrTb"/>
            <w:noWrap w:val="false"/>
          </w:tcPr>
          <w:p>
            <w:pPr>
              <w:ind w:left="-76" w:right="-91"/>
              <w:jc w:val="center"/>
              <w:spacing w:after="0" w:line="216" w:lineRule="auto"/>
              <w:shd w:val="clear" w:color="auto" w:fill="ffffff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наличие, полнота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  <w:p>
            <w:pPr>
              <w:ind w:left="-76" w:right="-91"/>
              <w:jc w:val="center"/>
              <w:spacing w:after="0" w:line="216" w:lineRule="auto"/>
              <w:shd w:val="clear" w:color="auto" w:fill="ffffff"/>
              <w:widowControl w:val="off"/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1 - информация 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соответствует названию и представлена в полном объеме (например, представлен документ с копиями всех приложений),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r>
            <w:r/>
          </w:p>
          <w:p>
            <w:pPr>
              <w:ind w:left="-76" w:right="-91"/>
              <w:jc w:val="center"/>
              <w:spacing w:after="0" w:line="216" w:lineRule="auto"/>
              <w:shd w:val="clear" w:color="auto" w:fill="ffffff"/>
              <w:widowControl w:val="off"/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0,5 - информация представлена частично (например, представлен основной документ без копий приложений или представлены не все необходимые документы/ информация);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r>
            <w:r/>
          </w:p>
          <w:p>
            <w:pPr>
              <w:ind w:left="-76" w:right="-91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0 - информация отсутствует </w:t>
            </w:r>
            <w:r>
              <w:rPr>
                <w:rStyle w:val="1294"/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footnoteReference w:id="4"/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-98" w:right="-108"/>
              <w:jc w:val="center"/>
              <w:spacing w:after="0" w:line="216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актуальность, достоверность,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неизбыточность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  <w:p>
            <w:pPr>
              <w:ind w:left="-98"/>
              <w:jc w:val="center"/>
              <w:spacing w:after="0" w:line="216" w:lineRule="auto"/>
              <w:shd w:val="clear" w:color="auto" w:fill="ffffff"/>
              <w:widowControl w:val="off"/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1 - информация актуальн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а: нормативные документы, локальные нормативные акты и пр. обновлены в соответствии с действующим законодательством; иная информация соответствует действительности – место нахождения организации, график работы, сведения о руководителе и сотрудниках и пр.  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r>
            <w:r/>
          </w:p>
          <w:p>
            <w:pPr>
              <w:ind w:left="-98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0,5 - информация неактуальна 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  <w:vertAlign w:val="superscript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16"/>
                <w:szCs w:val="16"/>
                <w:vertAlign w:val="superscript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удобство, доступность</w:t>
            </w:r>
            <w:r/>
          </w:p>
          <w:p>
            <w:pPr>
              <w:ind w:left="-138" w:right="-89"/>
              <w:jc w:val="center"/>
              <w:spacing w:after="0" w:line="216" w:lineRule="auto"/>
              <w:shd w:val="clear" w:color="auto" w:fill="ffffff"/>
              <w:widowControl w:val="off"/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1 – информация легко доступна, понятно и логично  расположена,  может быть найдена через встроенный поисковый сервис сайта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r>
            <w:r/>
          </w:p>
          <w:p>
            <w:pPr>
              <w:ind w:left="-138" w:right="-89"/>
              <w:jc w:val="center"/>
              <w:spacing w:after="0" w:line="216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  <w:sz w:val="16"/>
                <w:szCs w:val="16"/>
                <w:highlight w:val="yellow"/>
                <w:vertAlign w:val="superscript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0,5 – информация есть на сайте, но для ее поиска необходимо приложить значительные усилия (нет поиска по сайту, непрозрачное меню и пр.) 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  <w:vertAlign w:val="superscript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16"/>
                <w:szCs w:val="16"/>
                <w:highlight w:val="yellow"/>
                <w:vertAlign w:val="superscript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textDirection w:val="lrTb"/>
            <w:noWrap w:val="false"/>
          </w:tcPr>
          <w:p>
            <w:pPr>
              <w:ind w:left="-90" w:right="-108"/>
              <w:jc w:val="center"/>
              <w:spacing w:after="0" w:line="216" w:lineRule="auto"/>
              <w:widowControl w:val="off"/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итоговое значение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  <w:p>
            <w:pPr>
              <w:ind w:left="-90" w:right="-108"/>
              <w:jc w:val="center"/>
              <w:spacing w:after="0" w:line="216" w:lineRule="auto"/>
              <w:widowControl w:val="off"/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r>
            <w:r/>
          </w:p>
          <w:p>
            <w:pPr>
              <w:ind w:left="-90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произведение значений столбцов 3, 4 и 5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textDirection w:val="lrTb"/>
            <w:noWrap w:val="false"/>
          </w:tcPr>
          <w:p>
            <w:pPr>
              <w:ind w:left="-90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номер фото/скриншота, подтверждающего наличие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информации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</w:tr>
      <w:tr>
        <w:trPr>
          <w:gridAfter w:val="1"/>
          <w:trHeight w:val="20"/>
        </w:trPr>
        <w:tc>
          <w:tcPr>
            <w:shd w:val="clear" w:color="ffffff" w:fill="d9d9d9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Align w:val="center"/>
            <w:textDirection w:val="lrTb"/>
            <w:noWrap w:val="false"/>
          </w:tcPr>
          <w:p>
            <w:pPr>
              <w:ind w:left="-66" w:right="-36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</w:t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</w:t>
            </w:r>
            <w:r/>
          </w:p>
        </w:tc>
        <w:tc>
          <w:tcPr>
            <w:gridSpan w:val="3"/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</w:t>
            </w:r>
            <w:r/>
          </w:p>
        </w:tc>
        <w:tc>
          <w:tcPr>
            <w:gridSpan w:val="2"/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23"/>
        </w:trPr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I. Основные сведения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Информация о полном и сокращенном (при наличии) наименовании образовательной организации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textDirection w:val="lrTb"/>
            <w:noWrap w:val="false"/>
          </w:tcPr>
          <w:p>
            <w:pPr>
              <w:numPr>
                <w:ilvl w:val="0"/>
                <w:numId w:val="86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textDirection w:val="lrTb"/>
            <w:noWrap w:val="false"/>
          </w:tcPr>
          <w:p>
            <w:r/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 Информация о дате создания образовательной организации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textDirection w:val="lrTb"/>
            <w:noWrap w:val="false"/>
          </w:tcPr>
          <w:p>
            <w:pPr>
              <w:numPr>
                <w:ilvl w:val="0"/>
                <w:numId w:val="86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textDirection w:val="lrTb"/>
            <w:noWrap w:val="false"/>
          </w:tcPr>
          <w:p>
            <w:r/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 Информация об учредителе (учредителях) образовательной организации</w:t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textDirection w:val="lrTb"/>
            <w:noWrap w:val="false"/>
          </w:tcPr>
          <w:p>
            <w:pPr>
              <w:numPr>
                <w:ilvl w:val="0"/>
                <w:numId w:val="86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r/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textDirection w:val="lrTb"/>
            <w:noWrap w:val="false"/>
          </w:tcPr>
          <w:p>
            <w:r/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 Информация о месте нахождения образовательной организации </w:t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textDirection w:val="lrTb"/>
            <w:noWrap w:val="false"/>
          </w:tcPr>
          <w:p>
            <w:pPr>
              <w:numPr>
                <w:ilvl w:val="0"/>
                <w:numId w:val="86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5. Информация о режиме и графике работы образовательной организации</w:t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textDirection w:val="lrTb"/>
            <w:noWrap w:val="false"/>
          </w:tcPr>
          <w:p>
            <w:pPr>
              <w:numPr>
                <w:ilvl w:val="0"/>
                <w:numId w:val="86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6. Информация о контактных телефонах и об адресах электронной почты образовательной организации</w:t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86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7. Информация о местах осуществления образовательной деятельности, в том числе сведения об адресах мест осуществления образовательной деятельности, которые в соответствии с частью 4 статьи 91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Федерального закона от 29 декабря 2012 г. N 273-ФЗ «Об образовании в Российской Федерации» не включаются в соответствующую запись в реестре лицензий на осуществление образовательной деятельности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86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*</w:t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лицензии на осуществление образовательной деятельности (выписка из реестра лицензий на осуществление образовательной деятельности)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86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наличии или об отсутствии государственной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аккредитации образовательной деятельности по реализуемым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образовательным программам, за исключением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образовательных программ дошкольного образования,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программ подготовки научных и научно-педагогических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кадров в аспирантуре (адъюнктуре), образовательных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программ, реализуемых в соответствии с федеральным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pStyle w:val="1347"/>
              <w:jc w:val="both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государственным образовательным стандартом образования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обучающихся с нарушением интеллекта, основных программ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профессионального обучения, дополнительных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образовательных программ (информация о выписке из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государственной информационной системы «Реестр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организаций, осуществляющих образовательную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деятельность по имеющим государственную аккредитацию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образовательным программам»)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18"/>
                <w:szCs w:val="18"/>
              </w:rPr>
              <w:t xml:space="preserve">Х</w:t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II. Структура и органы управления образовательной организацией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10. Информация о структуре и об органах управления образовательной организации (в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том числе: наименование структурных подразделений (органов управления); фамилии, имена, отчества (при наличии) и должности руководителей структурных подразделений; места нахождения структурных подразделений (орган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ов управления) образовательной организации (при наличии); адреса официальных сайтов в сети «Интернет» структурных подразделений (при наличии); адреса электронной почты структурных подразделений (органов управления) образовательной организации (при наличии)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86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11. Сведения о наличии положений о структурных подразделениях (об органах управления) с приложением указанных положений в виде электронных документов, подписанных простой электронной подписью в соответствии с Федеральным законом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 6 апреля 2011 г. N 63-ФЗ «Об электронной подписи»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86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*</w:t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gridSpan w:val="10"/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shd w:val="clear" w:color="ffffff" w:themeColor="background1" w:fill="ffffff" w:themeFill="background1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III. Документы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r>
            <w:r/>
          </w:p>
          <w:p>
            <w:pPr>
              <w:pStyle w:val="1347"/>
              <w:jc w:val="both"/>
              <w:shd w:val="clear" w:color="ffffff" w:themeColor="background1" w:fill="ffffff" w:themeFill="background1"/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0"/>
                <w:szCs w:val="1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12. Устав образовательной организации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99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13. Правила внутреннего распорядка обучающихся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99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14. Правила внутреннего трудового распорядка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99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15. Коллективный договор (при наличии)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99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  <w:t xml:space="preserve">*</w:t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Локальные нормативные акты образовательной организации по основным вопросам организации и осуществления образовательной деятельности, предусмотренных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Федеральным законом № 273-ФЗ 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99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17.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Отчет о результатах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самообследования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99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  <w:suppressLineNumbers w:val="0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18.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Предписания органов, осуществляющих государственный контроль (надзор) в сфере образования, отчеты об исполнении таких предписаний (при наличии)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pStyle w:val="13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99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  <w:t xml:space="preserve">*</w:t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gridSpan w:val="10"/>
            <w:shd w:val="clear" w:color="ffffff" w:themeColor="background1" w:fill="ffffff" w:themeFill="background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IV. Образование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19. Информация о языках образования (в форме электронного документа)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86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20. Информация о резул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ьтатах приема по каждой профессии,  специальности среднего профессионального образования (при наличии вступительных испытаний) с указанием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средней суммы набранных баллов по всем вступительным испытаниям, а также о результатах перевода, восстановления и отчисления</w:t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18"/>
                <w:szCs w:val="18"/>
              </w:rPr>
              <w:t xml:space="preserve">Х</w:t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21. Информация о трудоустройстве выпускников в виде трудоустроенных выпускников прошлого учебного года, освоивших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основные профессиональные образовательные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программы среднего профессионального образования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каждой профессии, специальности, направлению подготовки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или укрупненной группе профессий, специальностей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направлений подготовки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18"/>
                <w:szCs w:val="18"/>
              </w:rPr>
              <w:t xml:space="preserve">Х</w:t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Информация о реализуемых образовательных программах с указанием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учебных предметов, курсов, дисциплин (модулей), практики,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предусмотренных соответствующей образовательной программой (за исключением образовательных программ дошкольного образования),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представляемой в виде образовательной программы в форме электронного документа или в виде активных ссылок, непосредственный переход по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которым позволяет получить доступ к страницам официального сайта образовательной организации, содержащим отдельные компоненты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образовательной программы, с указанием для каждой из них следующей информации: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22. Об уровне общего и профессионального образования, о наименовании образовательных программ (для общеобразовательных программ)  </w:t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86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23. О форме обучения (за исключением образовательных программ дошкольного образования)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  </w:t>
            </w:r>
            <w:r>
              <w:rPr>
                <w:b w:val="0"/>
                <w:bCs w:val="0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18"/>
                <w:szCs w:val="18"/>
              </w:rPr>
              <w:t xml:space="preserve">Х</w:t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24. О нормативном сроке обучения, коде и наименовании профессии специальности (специальностей)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86"/>
              </w:numPr>
              <w:jc w:val="center"/>
              <w:spacing w:after="0" w:line="216" w:lineRule="auto"/>
              <w:widowControl w:val="off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</w:tr>
      <w:tr>
        <w:trPr>
          <w:gridAfter w:val="1"/>
          <w:trHeight w:val="20"/>
        </w:trPr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Информация о численности обучающихся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25. Об общей численности обучающихся по реализуемым образовательным программам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бюджетных ассигнований федерального бюджета, бюджет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ов субъектов Российской Федерации, местных бюджетов и по договорам об образовании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средств физических и (или) юридических лиц (в форме электронного документа)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0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26. О численности обучающихся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являющихся иностранными гражданами, по каждой общеобразовательной программе и каждой профессии, специальности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0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shd w:val="clear" w:color="ffffff" w:themeColor="background1" w:fill="ffffff" w:themeFill="background1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V. Руководство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27. Информация о руководителе образовательной организации, его заместителях,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руководителях филиалов образовательной организации (при их наличии): фамилия, имя, отчество (при наличии) руководителя, его заместителей; должности руководителя, его заместителей; контактные телефоны; адреса электронной почты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03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V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I. Педагогический состав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</w:tc>
      </w:tr>
      <w:tr>
        <w:trPr>
          <w:gridAfter w:val="1"/>
          <w:trHeight w:val="45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28. Информация о персональном составе педагогических работников: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фамилия, имя, отчество (при наличии) педагогического работника; занимаемая должность (должности); преподаваемые учебные предметы, курсы, дисциплины (модули); уровень (уровни) профессионального образования с указанием наименования направл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ения подготовки и (или) специальности, в том числе научной, и квалификации; ученая степень (при наличии); ученое звание (при наличии); сведения о повышении квалификации (за последние 3 года); сведения о профессиональной переподготовке (при наличии); сведен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ия о продолжительности опыта (лет) работы в профессиональной сфере, соответствующей образовательной деятельности по реализации учебных предметов, курсов, дисциплин (модулей); наименование общеобразовательной программы (общеобразовательных программ), код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профессии, специальности (специальностей), направления (направлений) подготовки или укрупненной группы профессий, специальностей и направлений подготовки профессиональной образовательной программы высшего образования по программам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бакалавриата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специалитета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магистратуры, ординатуры,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ассистентуры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-стажировки, шифр и наименование области науки, группы научных специальностей, научной специальности программы (программ) подготовки научных и научно-педагогических кадров в аспирантуре (адъюнктуре), в реализации которых участвует педагогический работник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04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V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II. Материально-техническое обеспечение и оснащенность образовательного процесса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/>
          </w:p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29. Информация о материально-техническом обеспечении образовательной деятельности, в том чис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 в отношении инвалидов и лиц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ограниченными возможностями здоровья (в том числе о наличии оборудованных учебных кабинетов, оборудованных объектов для проведения практических занятий, оборудованных библиотек, оборудованных объектов спорта, оборудованных средств обучения и воспитания)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05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30. Информация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 доступе к информационным системам и информационно-телекоммуникационным сетям </w:t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05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31. Информация о количестве жилых помещений в общежитии, интернате, формировании платы за проживание в общежитии</w:t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07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*</w:t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32. Информация об электронных образовательных ресурсах, к которым обеспечивается доступ обучающихся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06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Информация о специальных условиях для получения образования инвалидами и лицами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/>
          </w:p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33. Информация об обеспечении доступа в здания образовательной организации, в том числе в общежитие, интернат, приспособленные для использования инвалидами и лицами с ограниченными возможностями здоровья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08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  <w:t xml:space="preserve">*</w:t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34. Информация о наличии специальных технических средств обучения коллективного и индивидуального пользования инвалидов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лиц с ограниченными возможностями здоровья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09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VIII. Платные образовательные услуги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35. Документ о порядке оказания платных образовательных услуг, в том числе образец договора об оказании платных образовательных услуг</w:t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11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36. Документ об утверждении стоимости обучения по каждой образовательной программе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13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37. Документ об установлении размера платы, взимаемой с родителей (законных представите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лей) за присмотр и уход детьми, осваивающими образовательные программы дошкольного образования в организациях, осуществляющих образовательную деятельность, за содержание детей в образовательной организации, реализующей образовательные программы начального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общего, основного общего или среднего общего образования, если в такой образовательной организации созданы усло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вия для проживания обучающихся в интернате, либо за осуществление присмотра и ухода за детьми в группах продленного дня в образовательной организации, реализующей образовательные программы начального общего, основного общего или среднего общего образования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14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IX. Финансово-хозяйственная деятельность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38. Информация об объеме образовате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льной деятельности, финансовое обеспечение которой осуществляется за счет бюджетных ассигнований федерального бюджета, бюджетов субъектов Российской Федерации, местных бюджетов, по договорам об образовании за счет средств физических и (или) юридических лиц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15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39. Информация о поступлении финансовых и материальных средств по итогам финансового года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15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40. Информация о расходовании финансовых и материальных средств по итогам финансового года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15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41. Копия плана финансово-хозяйственной деятельности образовательной организации, утвержденного в установленном законодательством Российской Федерации порядке, или бюджетной сметы образовательной организации в форме электронного документа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15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X. Вакантные места для приема (перевода) обучающихся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42. Информация о количестве вакантных мест для приема (перевода) по каждой образовательной программе, профессии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специальности, направлению подготовки на места, финансируемые за счет бюджетных ассигнований федерального бюджета, бюджетов субъектов Российской Федерации, местных бюджетов </w:t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16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43. Информация о количестве вакантных мест для приема (перевода) по каждой образовательной программе, профессии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специальности, направлению подготовки на места, финансируемые по договорам образования за счет средств физических и (или) юридических лиц</w:t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17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XI. Стипендии и меры поддержки поддержки обучающихся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</w:tc>
      </w:tr>
      <w:tr>
        <w:trPr>
          <w:gridAfter w:val="1"/>
          <w:trHeight w:val="4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44. Информация о наличии и условиях предоставления обучающимся стипендий, мер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социальной поддержки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18"/>
                <w:szCs w:val="18"/>
              </w:rPr>
              <w:t xml:space="preserve">Х</w:t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45. Информация о наличии общеж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ития, интерната, в том числе приспособленных для использования инвалидами и лицами с ограниченными возможностями здоровья, а также о количестве жилых помещений в общежитии, интернате для иногородних обучающихся, формировании платы за проживание в общежитии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18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*</w:t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79"/>
        </w:trPr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XII. Международное сотрудничество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/>
          </w:p>
          <w:p>
            <w:pPr>
              <w:pStyle w:val="1347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46. Информация о заключенных и планируемых к заключению договорах с иностранными и (или) международными организациями по вопросам образования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19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*</w:t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XIII. Организация питания и образовательной организации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47. Информация об условиях питания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охраны здоровья обучающихся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20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  <w:t xml:space="preserve">*</w:t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48. Информация об условиях питания обучающихся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образовательным программам начального общего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образования в государственных и муниципальных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общеобразовательных организациях, в том числе: меню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pStyle w:val="1347"/>
              <w:jc w:val="both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ежедневного горячего питания; информация о наличии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диетического меню в общеобразовательной организации;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перечни юридических лиц и индивидуальных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предпринимателей, оказывающих услуги по организации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питания в общеобразовательной организации, а также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pStyle w:val="1347"/>
              <w:jc w:val="both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поставляющих (реализующих) пищевые продукты 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продовольственное сырье в общеобразовательную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организацию; форма обратной связи для родителей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обучающихся и ответы на вопросы родителей по питанию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       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18"/>
                <w:szCs w:val="18"/>
              </w:rPr>
              <w:t xml:space="preserve">Х</w:t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1"/>
          <w:trHeight w:val="20"/>
        </w:trPr>
        <w:tc>
          <w:tcPr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4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XIV. Образовательные стандарты и требования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r>
            <w:r/>
          </w:p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r>
            <w:r/>
          </w:p>
        </w:tc>
      </w:tr>
      <w:tr>
        <w:trPr>
          <w:gridAfter w:val="1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49. 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федеральных государственных образовательных стандартах, федеральных государственных требованиях, об образовательных стандартах и самостоятельно устанавливаемых требованиях (при их наличии)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2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2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4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5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gridAfter w:val="2"/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vAlign w:val="bottom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/>
          </w:p>
          <w:p>
            <w:pPr>
              <w:pStyle w:val="1347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/>
          </w:p>
          <w:p>
            <w:pPr>
              <w:pStyle w:val="1347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Всего информации (максимальное количество для ДОО), подлежащей размещению на сайте: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6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43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highlight w:val="none"/>
              </w:rPr>
            </w:r>
            <w:r/>
          </w:p>
        </w:tc>
        <w:tc>
          <w:tcPr>
            <w:gridSpan w:val="4"/>
            <w:shd w:val="clear" w:color="ffffff" w:fill="0000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41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  <w:rPr>
                <w:rFonts w:ascii="Times New Roman" w:hAnsi="Times New Roman" w:eastAsia="Times New Roman" w:cs="Times New Roman"/>
                <w:bCs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14" w:type="dxa"/>
            <w:vAlign w:val="bottom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  <w:rPr>
                <w:rFonts w:ascii="Times New Roman" w:hAnsi="Times New Roman" w:eastAsia="Times New Roman" w:cs="Times New Roman"/>
                <w:bCs/>
                <w:i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Сумма по столбцу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shd w:val="clear" w:color="000000" w:themeColor="text1" w:fill="000000" w:themeFill="text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6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  <w:rPr>
                <w:rFonts w:ascii="Times New Roman" w:hAnsi="Times New Roman" w:eastAsia="Times New Roman" w:cs="Times New Roman"/>
                <w:bCs/>
                <w:color w:val="000000"/>
                <w:highlight w:val="black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  <w:highlight w:val="black"/>
              </w:rPr>
            </w:r>
            <w:r>
              <w:rPr>
                <w:highlight w:val="black"/>
              </w:rPr>
            </w:r>
            <w:r/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1" w:type="dxa"/>
            <w:textDirection w:val="lrTb"/>
            <w:noWrap w:val="false"/>
          </w:tcPr>
          <w:p>
            <w:pPr>
              <w:ind w:left="-66" w:right="-36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Комментарии, замечания, выявленные недостатки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</w:tc>
        <w:tc>
          <w:tcPr>
            <w:gridSpan w:val="10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789" w:type="dxa"/>
            <w:textDirection w:val="lrTb"/>
            <w:noWrap w:val="false"/>
          </w:tcPr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  <w:p>
            <w:r/>
            <w:r/>
          </w:p>
        </w:tc>
      </w:tr>
    </w:tbl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b/>
          <w:color w:val="000000"/>
          <w:sz w:val="18"/>
          <w:szCs w:val="1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18"/>
          <w:szCs w:val="18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b/>
          <w:color w:val="000000"/>
          <w:sz w:val="18"/>
          <w:szCs w:val="18"/>
        </w:rPr>
        <w:t xml:space="preserve">Условные обозначения:</w:t>
      </w:r>
      <w:r>
        <w:rPr>
          <w:rFonts w:ascii="Times New Roman" w:hAnsi="Times New Roman" w:eastAsia="Times New Roman" w:cs="Times New Roman"/>
          <w:b/>
          <w:bCs/>
          <w:color w:val="000000"/>
          <w:sz w:val="18"/>
          <w:szCs w:val="18"/>
          <w:highlight w:val="none"/>
        </w:rPr>
      </w:r>
      <w:r/>
    </w:p>
    <w:p>
      <w:pPr>
        <w:numPr>
          <w:ilvl w:val="0"/>
          <w:numId w:val="85"/>
        </w:numPr>
        <w:ind w:left="714" w:hanging="357"/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информация (единица информации) учитывается в расчете нормативного количества материалов/единиц информации.</w:t>
      </w:r>
      <w:r>
        <w:rPr>
          <w:color w:val="000000"/>
        </w:rPr>
      </w:r>
      <w:r/>
    </w:p>
    <w:p>
      <w:pPr>
        <w:ind w:left="709" w:hanging="352"/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b/>
          <w:color w:val="000000"/>
          <w:sz w:val="18"/>
          <w:szCs w:val="18"/>
        </w:rPr>
        <w:t xml:space="preserve">Х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     информация (единица информации) </w:t>
      </w:r>
      <w:r>
        <w:rPr>
          <w:rFonts w:ascii="Times New Roman" w:hAnsi="Times New Roman" w:eastAsia="Times New Roman" w:cs="Times New Roman"/>
          <w:b/>
          <w:color w:val="000000"/>
          <w:sz w:val="18"/>
          <w:szCs w:val="18"/>
        </w:rPr>
        <w:t xml:space="preserve">не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 учитывается в расчете нормативного количества материалов/единиц информации, т.к. </w:t>
      </w:r>
      <w:r>
        <w:rPr>
          <w:rFonts w:ascii="Times New Roman" w:hAnsi="Times New Roman" w:eastAsia="Times New Roman" w:cs="Times New Roman"/>
          <w:b/>
          <w:bCs/>
          <w:color w:val="000000"/>
          <w:sz w:val="18"/>
          <w:szCs w:val="18"/>
        </w:rPr>
        <w:t xml:space="preserve">не должна быть представлена</w:t>
      </w:r>
      <w:r>
        <w:rPr>
          <w:rFonts w:ascii="Times New Roman" w:hAnsi="Times New Roman" w:eastAsia="Times New Roman" w:cs="Times New Roman"/>
          <w:b/>
          <w:bCs/>
          <w:color w:val="000000"/>
          <w:sz w:val="18"/>
          <w:szCs w:val="18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         *     информация должна быть представлена </w:t>
      </w:r>
      <w:r>
        <w:rPr>
          <w:rFonts w:ascii="Times New Roman" w:hAnsi="Times New Roman" w:eastAsia="Times New Roman" w:cs="Times New Roman"/>
          <w:color w:val="000000"/>
          <w:sz w:val="18"/>
          <w:szCs w:val="18"/>
          <w:u w:val="single"/>
        </w:rPr>
        <w:t xml:space="preserve">при наличии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 в образовательной организации</w:t>
      </w:r>
      <w:r>
        <w:rPr>
          <w:rFonts w:ascii="Times New Roman" w:hAnsi="Times New Roman" w:eastAsia="Times New Roman" w:cs="Times New Roman"/>
          <w:color w:val="000000"/>
        </w:rPr>
      </w:r>
      <w:r/>
    </w:p>
    <w:p>
      <w:pPr>
        <w:spacing w:before="240" w:after="0" w:line="240" w:lineRule="auto"/>
        <w:widowControl w:val="off"/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/>
    </w:p>
    <w:p>
      <w:pPr>
        <w:spacing w:before="240" w:after="0" w:line="240" w:lineRule="auto"/>
        <w:widowControl w:val="off"/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Подпись эксперта _______________________________________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  <w:t xml:space="preserve">Дата проведения оценки _____________________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/>
    </w:p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bCs/>
          <w:i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Подпись руководителя дошкольной образовательной организации 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      Дата ознакомления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  <w:t xml:space="preserve">___________________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/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/>
    </w:p>
    <w:p>
      <w:pPr>
        <w:contextualSpacing w:val="0"/>
        <w:jc w:val="center"/>
        <w:spacing w:before="0" w:after="0" w:line="240" w:lineRule="atLeast"/>
        <w:widowControl/>
        <w:rPr>
          <w:rFonts w:ascii="Times New Roman" w:hAnsi="Times New Roman" w:eastAsia="Calibri"/>
          <w:b/>
          <w:bCs/>
          <w:color w:val="000000"/>
          <w:u w:val="single"/>
        </w:rPr>
        <w:suppressLineNumbers w:val="0"/>
      </w:pPr>
      <w:r>
        <w:rPr>
          <w:rFonts w:ascii="Times New Roman" w:hAnsi="Times New Roman"/>
          <w:b/>
          <w:bCs/>
          <w:color w:val="000000"/>
          <w:highlight w:val="none"/>
          <w:u w:val="single"/>
        </w:rPr>
      </w:r>
      <w:r>
        <w:rPr>
          <w:rFonts w:ascii="Times New Roman" w:hAnsi="Times New Roman"/>
          <w:b/>
          <w:bCs/>
          <w:color w:val="000000"/>
          <w:highlight w:val="none"/>
          <w:u w:val="single"/>
        </w:rPr>
      </w:r>
      <w:r/>
    </w:p>
    <w:p>
      <w:pPr>
        <w:contextualSpacing w:val="0"/>
        <w:jc w:val="center"/>
        <w:spacing w:before="0" w:after="0" w:line="240" w:lineRule="atLeast"/>
        <w:widowControl/>
        <w:rPr>
          <w:rFonts w:ascii="Times New Roman" w:hAnsi="Times New Roman"/>
          <w:b/>
          <w:bCs/>
          <w:color w:val="000000"/>
          <w:highlight w:val="none"/>
          <w:u w:val="single"/>
        </w:rPr>
        <w:suppressLineNumbers w:val="0"/>
      </w:pPr>
      <w:r>
        <w:rPr>
          <w:rFonts w:ascii="Times New Roman" w:hAnsi="Times New Roman"/>
          <w:b/>
          <w:bCs/>
          <w:color w:val="000000"/>
          <w:highlight w:val="none"/>
          <w:u w:val="single"/>
        </w:rPr>
      </w:r>
      <w:r>
        <w:rPr>
          <w:rFonts w:ascii="Times New Roman" w:hAnsi="Times New Roman"/>
          <w:b/>
          <w:bCs/>
          <w:color w:val="000000"/>
          <w:highlight w:val="none"/>
          <w:u w:val="single"/>
        </w:rPr>
      </w:r>
      <w:r/>
    </w:p>
    <w:p>
      <w:pPr>
        <w:contextualSpacing w:val="0"/>
        <w:jc w:val="left"/>
        <w:spacing w:before="0" w:after="0" w:line="240" w:lineRule="atLeast"/>
        <w:widowControl/>
        <w:rPr>
          <w:rFonts w:ascii="Times New Roman" w:hAnsi="Times New Roman"/>
          <w:b/>
          <w:bCs/>
          <w:color w:val="000000"/>
          <w:highlight w:val="none"/>
          <w:u w:val="single"/>
        </w:rPr>
        <w:suppressLineNumbers w:val="0"/>
      </w:pPr>
      <w:r>
        <w:rPr>
          <w:rFonts w:ascii="Times New Roman" w:hAnsi="Times New Roman"/>
          <w:b/>
          <w:bCs/>
          <w:color w:val="000000"/>
          <w:highlight w:val="none"/>
          <w:u w:val="single"/>
        </w:rPr>
      </w:r>
      <w:r>
        <w:rPr>
          <w:rFonts w:ascii="Times New Roman" w:hAnsi="Times New Roman"/>
          <w:b/>
          <w:bCs/>
          <w:color w:val="000000"/>
          <w:highlight w:val="none"/>
          <w:u w:val="single"/>
        </w:rPr>
      </w:r>
      <w:r/>
    </w:p>
    <w:p>
      <w:pPr>
        <w:pStyle w:val="1112"/>
        <w:contextualSpacing w:val="0"/>
        <w:jc w:val="center"/>
        <w:spacing w:before="0" w:after="0" w:line="240" w:lineRule="atLeast"/>
        <w:widowControl/>
        <w:rPr>
          <w:rFonts w:ascii="Times New Roman" w:hAnsi="Times New Roman"/>
          <w:b/>
          <w:bCs/>
          <w:color w:val="000000"/>
          <w:highlight w:val="none"/>
          <w:u w:val="single"/>
        </w:rPr>
        <w:suppressLineNumbers w:val="0"/>
      </w:pPr>
      <w:r>
        <w:rPr>
          <w:rFonts w:ascii="Times New Roman" w:hAnsi="Times New Roman" w:eastAsia="Times New Roman" w:cs="Times New Roman"/>
          <w:b/>
          <w:color w:val="000000"/>
        </w:rPr>
        <w:t xml:space="preserve">Чек-лист проверки выполнения </w:t>
      </w:r>
      <w:r>
        <w:rPr>
          <w:rFonts w:ascii="Times New Roman" w:hAnsi="Times New Roman"/>
          <w:b/>
          <w:bCs/>
          <w:u w:val="single"/>
        </w:rPr>
        <w:t xml:space="preserve">дошкольными </w:t>
      </w:r>
      <w:r>
        <w:rPr>
          <w:rFonts w:ascii="Times New Roman" w:hAnsi="Times New Roman"/>
          <w:b/>
          <w:bCs/>
          <w:u w:val="single"/>
        </w:rPr>
        <w:t xml:space="preserve">образовательными </w:t>
      </w:r>
      <w:r>
        <w:rPr>
          <w:rFonts w:ascii="Times New Roman" w:hAnsi="Times New Roman"/>
          <w:b/>
          <w:bCs/>
          <w:color w:val="000000"/>
          <w:u w:val="single"/>
        </w:rPr>
        <w:t xml:space="preserve">организациями</w:t>
      </w:r>
      <w:r>
        <w:rPr>
          <w:rFonts w:ascii="Times New Roman" w:hAnsi="Times New Roman" w:eastAsia="Calibri"/>
          <w:b/>
          <w:color w:val="000000"/>
          <w:u w:val="single"/>
          <w:lang w:eastAsia="en-US"/>
        </w:rPr>
      </w:r>
      <w:r/>
    </w:p>
    <w:p>
      <w:pPr>
        <w:contextualSpacing w:val="0"/>
        <w:jc w:val="center"/>
        <w:spacing w:before="0" w:after="0" w:line="240" w:lineRule="auto"/>
        <w:rPr>
          <w:highlight w:val="none"/>
        </w:rPr>
        <w:suppressLineNumbers w:val="0"/>
      </w:pPr>
      <w:r>
        <w:rPr>
          <w:rFonts w:ascii="Times New Roman" w:hAnsi="Times New Roman" w:eastAsia="Times New Roman" w:cs="Times New Roman"/>
          <w:b/>
          <w:color w:val="000000"/>
        </w:rPr>
        <w:t xml:space="preserve">показателя 1.1. Соответствие информации о деятельности организации, размещенной на общедоступных информационных ресурсах, ее содержанию и порядку (форме) размещения, установленным нормативными правовыми актами</w:t>
      </w:r>
      <w:r>
        <w:rPr>
          <w:rFonts w:ascii="Times New Roman" w:hAnsi="Times New Roman" w:eastAsia="Times New Roman" w:cs="Times New Roman"/>
          <w:b/>
          <w:color w:val="000000"/>
        </w:rPr>
        <w:t xml:space="preserve">:</w:t>
      </w:r>
      <w:r>
        <w:rPr>
          <w:rFonts w:ascii="Times New Roman" w:hAnsi="Times New Roman" w:eastAsia="Times New Roman" w:cs="Times New Roman"/>
          <w:b/>
          <w:color w:val="000000"/>
        </w:rPr>
        <w:br/>
      </w:r>
      <w:r>
        <w:rPr>
          <w:rFonts w:ascii="Times New Roman" w:hAnsi="Times New Roman" w:eastAsia="Times New Roman" w:cs="Times New Roman"/>
          <w:b/>
          <w:color w:val="000000"/>
        </w:rPr>
        <w:t xml:space="preserve">на информационных стендах в помещении организации</w:t>
      </w:r>
      <w:r/>
    </w:p>
    <w:p>
      <w:pPr>
        <w:ind w:left="850" w:right="0" w:firstLine="0"/>
        <w:jc w:val="center"/>
        <w:spacing w:after="0" w:line="276" w:lineRule="auto"/>
        <w:widowControl w:val="off"/>
        <w:rPr>
          <w:rFonts w:ascii="Times New Roman" w:hAnsi="Times New Roman" w:cs="Times New Roman"/>
          <w:sz w:val="18"/>
          <w:szCs w:val="18"/>
          <w:highlight w:val="none"/>
        </w:rPr>
      </w:pPr>
      <w:r>
        <w:rPr>
          <w:rFonts w:ascii="Times New Roman" w:hAnsi="Times New Roman" w:cs="Times New Roman"/>
          <w:sz w:val="18"/>
          <w:szCs w:val="18"/>
          <w:highlight w:val="none"/>
        </w:rPr>
        <w:t xml:space="preserve">(разработан на основании Приложения 2 к Порядку действий в рамках сбора информации о качестве условий оказания услуг Методических реком</w:t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ендаций по организации работы в рамках проведения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экспертизы, утвержденных приказом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Минтруда России от 28.12.2023 года № 899, и Методических рекомендаций 2025 года к единому порядку расчета показателей независимой оценки качества условий осуществления образовательной деятельности организациями, осуществляющими образователь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ную деятельность по основным общеобразовательным программам, образовательным программам среднего профессионального образования, основным программам профессионального обучения, дополнительным общеобразовательным программам (с учетом отраслевых особенностей)</w:t>
      </w:r>
      <w:r>
        <w:rPr>
          <w:rFonts w:ascii="Times New Roman" w:hAnsi="Times New Roman" w:cs="Times New Roman"/>
          <w:sz w:val="18"/>
          <w:szCs w:val="18"/>
          <w:highlight w:val="none"/>
        </w:rPr>
      </w:r>
      <w:r/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</w:rPr>
      </w:pPr>
      <w:r/>
      <w:bookmarkStart w:id="14" w:name="_17dp8vu"/>
      <w:r/>
      <w:bookmarkEnd w:id="14"/>
      <w:r>
        <w:rPr>
          <w:rFonts w:ascii="Times New Roman" w:hAnsi="Times New Roman" w:eastAsia="Times New Roman" w:cs="Times New Roman"/>
          <w:color w:val="000000"/>
        </w:rPr>
        <w:t xml:space="preserve">ФИО эксперта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 xml:space="preserve">________________________________________________________________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Наименование организации ______________________________________________________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i/>
          <w:color w:val="000000"/>
        </w:rPr>
      </w:pPr>
      <w:r/>
      <w:bookmarkStart w:id="15" w:name="_3rdcrjn"/>
      <w:r/>
      <w:bookmarkEnd w:id="15"/>
      <w:r>
        <w:rPr>
          <w:rFonts w:ascii="Times New Roman" w:hAnsi="Times New Roman" w:eastAsia="Times New Roman" w:cs="Times New Roman"/>
          <w:i/>
          <w:color w:val="000000"/>
        </w:rPr>
        <w:t xml:space="preserve">Проставьте соответствующие баллы в пустых ячейках формы 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i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</w:r>
      <w:r/>
    </w:p>
    <w:tbl>
      <w:tblPr>
        <w:tblStyle w:val="1318"/>
        <w:tblW w:w="15877" w:type="dxa"/>
        <w:tblInd w:w="-4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5810"/>
        <w:gridCol w:w="1076"/>
        <w:gridCol w:w="1514"/>
        <w:gridCol w:w="1581"/>
        <w:gridCol w:w="3278"/>
        <w:gridCol w:w="1109"/>
        <w:gridCol w:w="1509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810" w:type="dxa"/>
            <w:vAlign w:val="center"/>
            <w:vMerge w:val="restart"/>
            <w:textDirection w:val="lrTb"/>
            <w:noWrap w:val="false"/>
          </w:tcPr>
          <w:p>
            <w:pPr>
              <w:ind w:left="-66" w:right="-36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Перечень информации </w:t>
            </w:r>
            <w:r/>
          </w:p>
          <w:p>
            <w:pPr>
              <w:ind w:left="-66" w:right="-36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r>
            <w:r/>
          </w:p>
          <w:p>
            <w:pPr>
              <w:ind w:left="-66" w:right="-36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067" w:type="dxa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На информационных стендах в помещении организации </w:t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8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ind w:left="-108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установ-ленное требование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-107" w:right="-112"/>
              <w:jc w:val="center"/>
              <w:spacing w:after="0" w:line="216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наличие, полнота</w:t>
            </w:r>
            <w:r/>
          </w:p>
          <w:p>
            <w:pPr>
              <w:ind w:left="-107" w:right="-112"/>
              <w:jc w:val="center"/>
              <w:spacing w:after="0" w:line="216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1 - информация соответствует названию и представлена в полном объеме (например, представлен документ с копиями всех приложений),</w:t>
            </w:r>
            <w:r/>
          </w:p>
          <w:p>
            <w:pPr>
              <w:ind w:left="-107" w:right="-112"/>
              <w:jc w:val="center"/>
              <w:spacing w:after="0" w:line="216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0,5 - информация представлена частично (например, представлен основной документ без копий приложений или представлены не все необходимые документы/ информация);</w:t>
            </w:r>
            <w:r/>
          </w:p>
          <w:p>
            <w:pPr>
              <w:ind w:left="-107" w:right="-112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0 - информация отсутствует 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  <w:vertAlign w:val="superscript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  <w:vertAlign w:val="superscript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-97" w:right="-153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актуальность, достоверность, неизбыточность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vertAlign w:val="superscript"/>
              </w:rPr>
              <w:t xml:space="preserve"> 4</w:t>
            </w:r>
            <w:r>
              <w:rPr>
                <w:rFonts w:ascii="Times New Roman" w:hAnsi="Times New Roman" w:eastAsia="Times New Roman" w:cs="Times New Roman"/>
                <w:color w:val="ffffff" w:themeColor="background1"/>
                <w:sz w:val="18"/>
                <w:szCs w:val="18"/>
                <w:vertAlign w:val="superscript"/>
              </w:rPr>
              <w:footnoteReference w:id="5"/>
              <w:t xml:space="preserve">6</w:t>
            </w:r>
            <w:r/>
          </w:p>
          <w:p>
            <w:pPr>
              <w:ind w:left="-97" w:right="-153"/>
              <w:jc w:val="center"/>
              <w:spacing w:after="0" w:line="216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1 - информация актуальн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а: нормативные документы, локальные нормативные акты и пр. обновлены в соответствии с действующим законодательством; иная информация соответствует действительности – место нахождения организации, график работы, сведения о руководителе и сотрудниках и пр.  </w:t>
            </w:r>
            <w:r/>
          </w:p>
          <w:p>
            <w:pPr>
              <w:ind w:left="-97" w:right="-153"/>
              <w:jc w:val="center"/>
              <w:spacing w:after="0" w:line="216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0,5 - информация неактуальна 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  <w:vertAlign w:val="superscript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  <w:vertAlign w:val="superscript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-116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удобство, доступность</w:t>
            </w:r>
            <w:r/>
          </w:p>
          <w:p>
            <w:pPr>
              <w:ind w:left="-116" w:right="-112"/>
              <w:jc w:val="center"/>
              <w:spacing w:after="0" w:line="216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1 – стенды, на которых размещена данная информация, доступны неограниченному кругу лиц, на входе в организацию, расстояние до стендов и высота размещения информации позволяю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т ознакомиться с ней без осложнений, в удобном для чтения формате, на уровне глаз получателей услуг (1,5 м. +/- 10% от пола), печатные материалы (брошюры, буклеты и пр.) доступны для получателя услуги местах, предусмотренных уполномоченным органом власти; </w:t>
            </w:r>
            <w:r/>
          </w:p>
          <w:p>
            <w:pPr>
              <w:ind w:left="-116" w:right="-106"/>
              <w:jc w:val="center"/>
              <w:spacing w:after="0" w:line="216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0,5 – информация есть на стенде (в печатных материалах), но для ее поиска необходимо приложить значительные усилия (стенды расположены не на первом этаже, доступ к ним ограничен, печатные материалы не размещены в установленных местах и пр.) 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  <w:vertAlign w:val="superscript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vertAlign w:val="superscript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-114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итоговое значение </w:t>
            </w:r>
            <w:r/>
          </w:p>
          <w:p>
            <w:pPr>
              <w:ind w:left="-114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  <w:p>
            <w:pPr>
              <w:ind w:left="-114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произведение значений столбцов</w:t>
            </w:r>
            <w:r/>
          </w:p>
          <w:p>
            <w:pPr>
              <w:ind w:left="-114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3, 4 и 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-114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номер фото, подтверждающего наличие информации</w:t>
            </w:r>
            <w:r/>
          </w:p>
        </w:tc>
      </w:tr>
      <w:tr>
        <w:trPr>
          <w:trHeight w:val="20"/>
        </w:trPr>
        <w:tc>
          <w:tcPr>
            <w:shd w:val="clear" w:color="auto" w:fill="d9d9d9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vAlign w:val="center"/>
            <w:textDirection w:val="lrTb"/>
            <w:noWrap w:val="false"/>
          </w:tcPr>
          <w:p>
            <w:pPr>
              <w:ind w:left="-66" w:right="-36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</w:t>
            </w:r>
            <w:r/>
          </w:p>
        </w:tc>
      </w:tr>
      <w:tr>
        <w:trPr>
          <w:trHeight w:val="510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I. Основные сведения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/>
          </w:p>
        </w:tc>
      </w:tr>
      <w:tr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347"/>
              <w:ind w:lef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 Информация о месте нахождения образовательной организации 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38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r/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 Информация о режиме и графике работы образовательной организации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38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r/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 Информация о контактных телефонах и об адресах электронной почты образовательной организации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38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r/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лицензии на осуществление образовательной деятельности (выписка из реестра лицензий на осуществление образовательной деятельности)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123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5. 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наличии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или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государственной</w:t>
            </w:r>
            <w:r/>
          </w:p>
          <w:p>
            <w:pPr>
              <w:pStyle w:val="1347"/>
              <w:jc w:val="both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аккредитации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образовательной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деятельности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реализуемым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образовательным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программам, за исключением образовательных программ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дошкольного образования, образовательных программ,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  <w:p>
            <w:pPr>
              <w:pStyle w:val="1347"/>
              <w:jc w:val="both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реализуемых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соответствии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образовательным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стандартом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образования обучающихся с нарушением интеллекта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основных программ профессионального обучения,</w:t>
            </w:r>
            <w:r/>
          </w:p>
          <w:p>
            <w:pPr>
              <w:pStyle w:val="1347"/>
              <w:jc w:val="both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дополнительных образовательных программ (информация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 выписке из государственной информационной системы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«Реестр организаций, осуществляющих образовательную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деятельность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имеющим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государственную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аккредитацию образовательным программам»)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  <w:t xml:space="preserve"> </w:t>
            </w:r>
            <w:r>
              <w:rPr>
                <w:b w:val="0"/>
                <w:bCs w:val="0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18"/>
                <w:szCs w:val="18"/>
              </w:rPr>
              <w:t xml:space="preserve">Х</w:t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II. Структура и органы управления образовательной организацией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6.  Информация о структуре и об органах управления образовательной организации (в том числе: наименование структурных подразделений (органов управления);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фамилии, имена, отчества (при наличии) и должности руководителей структурных подразделений; места нахождения структурных подразделений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 адреса официальных сайтов в сети "Интернет" структурных подразделений (при наличии); адреса электронной почты структурных подразделений (при наличии)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38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III. Документы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8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7. Локальные нормативные акты образовательной организации по основным вопросам организации и осуществления образовательной деятельности, предусмотренных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Федеральным законом от 29 декабря 2012 г. № 273-ФЗ "Об образовании в Российской Федерации" 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38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132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IV. Платные образовательные услуги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 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38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V. Образование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9. Информацию о результатах 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риема по каждой профессии,  специальности среднего профессионального образования (при наличии вступительных испытаний) с указанием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средней суммы набранных баллов по всем вступительным испытаниям (при наличии вступительных испытаний), а также о результатах перевода, восстановления и отчисления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ind w:left="0" w:firstLine="0"/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b w:val="0"/>
                <w:bCs w:val="0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18"/>
                <w:szCs w:val="18"/>
              </w:rPr>
              <w:t xml:space="preserve">Х</w:t>
            </w:r>
            <w:r>
              <w:rPr>
                <w:color w:val="000000"/>
              </w:rPr>
            </w:r>
            <w:r/>
          </w:p>
          <w:p>
            <w:pPr>
              <w:ind w:left="0" w:firstLine="0"/>
              <w:jc w:val="left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VI. Руководство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10. Информация о руководителе образовательной организации, его заместителях,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руководителях филиалов, представительств образовательной организации (при их наличии), в том числе: фамилия, имя, отчество (при наличии) руководителя, его заместителей; должность руководителя, его заместителей; контактные телефоны; адреса электронной почты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ind w:left="0" w:firstLine="0"/>
              <w:jc w:val="center"/>
              <w:spacing w:after="0" w:line="216" w:lineRule="auto"/>
              <w:widowControl w:val="o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+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VII. Педагогический состав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11. Информация о пе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рсональном составе педагогических работников с указанием уровня образования, квалификации и опыта работы, в том числе: фамилия, имя, отчество (при наличии) педагогического работника; занимаемая должность (должности); преподаваемые учебные предметы, курсы,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дисциплины (модули)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38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left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VIII. Организация питания в образовательной организации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vMerge w:val="restart"/>
            <w:textDirection w:val="lrTb"/>
            <w:noWrap w:val="false"/>
          </w:tcPr>
          <w:p>
            <w:pPr>
              <w:pStyle w:val="134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12. Информация об условиях питания обучающихся, в том числе инвалидов и лиц с ограниченными возможностями здоровья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 xml:space="preserve">+</w:t>
            </w: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vAlign w:val="bottom"/>
            <w:textDirection w:val="lrTb"/>
            <w:noWrap w:val="false"/>
          </w:tcPr>
          <w:p>
            <w:pPr>
              <w:ind w:left="0" w:right="-36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ind w:left="-66" w:right="-36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ind w:left="-66" w:right="-36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Объем информации (количество материалов/единиц информации) о деятельности организации 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Align w:val="bottom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10</w:t>
            </w:r>
            <w:r/>
          </w:p>
        </w:tc>
        <w:tc>
          <w:tcPr>
            <w:gridSpan w:val="3"/>
            <w:shd w:val="clear" w:color="auto" w:fill="0000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3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Сумма по столбцу</w:t>
            </w:r>
            <w:r/>
          </w:p>
        </w:tc>
        <w:tc>
          <w:tcPr>
            <w:shd w:val="clear" w:color="000000" w:themeColor="text1" w:fill="000000" w:themeFill="text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66" w:right="-36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Комментарии, замечания, выявленные недостатки </w:t>
            </w:r>
            <w:r/>
          </w:p>
        </w:tc>
        <w:tc>
          <w:tcPr>
            <w:gridSpan w:val="6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67" w:type="dxa"/>
            <w:textDirection w:val="lrTb"/>
            <w:noWrap w:val="false"/>
          </w:tcPr>
          <w:p>
            <w:r/>
            <w:r/>
          </w:p>
          <w:p>
            <w:r/>
            <w:r/>
          </w:p>
          <w:p>
            <w:r/>
            <w:r/>
          </w:p>
        </w:tc>
      </w:tr>
    </w:tbl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b/>
          <w:color w:val="000000"/>
          <w:sz w:val="18"/>
          <w:szCs w:val="18"/>
        </w:rPr>
        <w:t xml:space="preserve">Условные обозначения:</w:t>
      </w:r>
      <w:r>
        <w:rPr>
          <w:rFonts w:ascii="Times New Roman" w:hAnsi="Times New Roman" w:eastAsia="Times New Roman" w:cs="Times New Roman"/>
          <w:b/>
          <w:bCs/>
          <w:color w:val="000000"/>
          <w:sz w:val="18"/>
          <w:szCs w:val="18"/>
          <w:highlight w:val="none"/>
        </w:rPr>
      </w:r>
      <w:r/>
    </w:p>
    <w:p>
      <w:pPr>
        <w:numPr>
          <w:ilvl w:val="0"/>
          <w:numId w:val="98"/>
        </w:numPr>
        <w:ind w:left="714" w:hanging="357"/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информация (единица информации) учитывается в расчете нормативного количества материалов/единиц информации.</w:t>
      </w:r>
      <w:r>
        <w:rPr>
          <w:color w:val="000000"/>
        </w:rPr>
      </w:r>
      <w:r/>
    </w:p>
    <w:p>
      <w:pPr>
        <w:ind w:left="709" w:hanging="352"/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b/>
          <w:color w:val="000000"/>
          <w:sz w:val="18"/>
          <w:szCs w:val="18"/>
        </w:rPr>
        <w:t xml:space="preserve">Х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     информация (единица информации) </w:t>
      </w:r>
      <w:r>
        <w:rPr>
          <w:rFonts w:ascii="Times New Roman" w:hAnsi="Times New Roman" w:eastAsia="Times New Roman" w:cs="Times New Roman"/>
          <w:b/>
          <w:color w:val="000000"/>
          <w:sz w:val="18"/>
          <w:szCs w:val="18"/>
        </w:rPr>
        <w:t xml:space="preserve">не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 учитывается в расчете нормативного количества материалов/единиц информации, т.к. </w:t>
      </w:r>
      <w:r>
        <w:rPr>
          <w:rFonts w:ascii="Times New Roman" w:hAnsi="Times New Roman" w:eastAsia="Times New Roman" w:cs="Times New Roman"/>
          <w:b/>
          <w:bCs/>
          <w:color w:val="000000"/>
          <w:sz w:val="18"/>
          <w:szCs w:val="18"/>
        </w:rPr>
        <w:t xml:space="preserve">не должна быть представлена</w:t>
      </w:r>
      <w:r>
        <w:rPr>
          <w:rFonts w:ascii="Times New Roman" w:hAnsi="Times New Roman" w:eastAsia="Times New Roman" w:cs="Times New Roman"/>
          <w:b/>
          <w:bCs/>
          <w:color w:val="000000"/>
          <w:sz w:val="18"/>
          <w:szCs w:val="18"/>
        </w:rPr>
      </w:r>
      <w:r/>
    </w:p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Подпись эксперта _______________________________________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  <w:t xml:space="preserve">Дата проведения оценки _____________________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/>
    </w:p>
    <w:p>
      <w:pPr>
        <w:spacing w:before="240" w:after="0" w:line="240" w:lineRule="auto"/>
        <w:widowControl w:val="off"/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Подпись руководителя дошкольной образовательной организации _________________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      Дата ознакомления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  <w:t xml:space="preserve">___________________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r>
      <w:r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/>
          <w:sz w:val="24"/>
          <w:szCs w:val="24"/>
          <w:highlight w:val="none"/>
          <w:u w:val="single"/>
        </w:rPr>
      </w:pPr>
      <w:r>
        <w:rPr>
          <w:sz w:val="24"/>
          <w:szCs w:val="24"/>
        </w:rPr>
      </w:r>
      <w:bookmarkStart w:id="18" w:name="_35nkun2"/>
      <w:r>
        <w:rPr>
          <w:sz w:val="24"/>
          <w:szCs w:val="24"/>
        </w:rPr>
      </w:r>
      <w:bookmarkEnd w:id="18"/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Чек-лист проверки наличия и функционирования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 в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дошкольной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образовательной 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организации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/>
    </w:p>
    <w:p>
      <w:pPr>
        <w:jc w:val="center"/>
        <w:spacing w:after="0" w:line="240" w:lineRule="auto"/>
        <w:widowControl w:val="off"/>
        <w:rPr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дистанционных способов взаимодействия с получателями услуг</w:t>
      </w:r>
      <w:r>
        <w:rPr>
          <w:sz w:val="24"/>
          <w:szCs w:val="24"/>
        </w:rPr>
      </w:r>
      <w:r/>
    </w:p>
    <w:p>
      <w:pPr>
        <w:ind w:left="709" w:right="0" w:hanging="709"/>
        <w:jc w:val="center"/>
        <w:spacing w:after="0" w:line="276" w:lineRule="auto"/>
        <w:widowControl w:val="off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18"/>
          <w:szCs w:val="18"/>
          <w:highlight w:val="none"/>
        </w:rPr>
        <w:t xml:space="preserve">(разработан на основании Приложения 2 к Порядку действий в рамках сбора информации о качестве условий оказания услуг Методических реком</w:t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ендаций по организации работы в рамках проведения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экспертизы, утвержденных приказом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Минтруда России от 28.12.2023 года № 899, и Методических рекомендаций 2025 года к единому порядку расчета показателей независимой оценки качества условий осуществления образовательной деятельности организациями, осуществляющими образователь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ную деятельность по основным общеобразовательным программам, образовательным программам среднего профессионального образования, основным программам профессионального обучения, дополнительным общеобразовательным программам (с учетом отраслевых особенностей)</w:t>
      </w:r>
      <w:r>
        <w:rPr>
          <w:rFonts w:ascii="Times New Roman" w:hAnsi="Times New Roman" w:cs="Times New Roman"/>
          <w:sz w:val="18"/>
          <w:szCs w:val="18"/>
          <w:highlight w:val="none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</w:rPr>
      </w:pPr>
      <w:r/>
      <w:bookmarkStart w:id="19" w:name="_1ksv4uv"/>
      <w:r/>
      <w:bookmarkEnd w:id="19"/>
      <w:r>
        <w:rPr>
          <w:rFonts w:ascii="Times New Roman" w:hAnsi="Times New Roman" w:eastAsia="Times New Roman" w:cs="Times New Roman"/>
          <w:color w:val="000000"/>
        </w:rPr>
        <w:t xml:space="preserve">ФИО эксперта</w:t>
      </w:r>
      <w:r>
        <w:rPr>
          <w:rFonts w:ascii="Times New Roman" w:hAnsi="Times New Roman" w:eastAsia="Times New Roman" w:cs="Times New Roman"/>
          <w:color w:val="000000"/>
        </w:rPr>
        <w:t xml:space="preserve">_________________________________________________________________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Наименование организации ______________________________________________________</w:t>
      </w:r>
      <w:r/>
    </w:p>
    <w:p>
      <w:pPr>
        <w:ind w:left="2124" w:firstLine="707"/>
        <w:jc w:val="center"/>
        <w:spacing w:after="0" w:line="240" w:lineRule="auto"/>
        <w:rPr>
          <w:rFonts w:ascii="Times New Roman" w:hAnsi="Times New Roman" w:eastAsia="Times New Roman" w:cs="Times New Roman"/>
          <w:i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 xml:space="preserve">Проставьте соответствующие баллы в пустых ячейках формы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/>
    </w:p>
    <w:tbl>
      <w:tblPr>
        <w:tblStyle w:val="1320"/>
        <w:tblW w:w="15747" w:type="dxa"/>
        <w:tblInd w:w="-426" w:type="dxa"/>
        <w:tblLayout w:type="fixed"/>
        <w:tblLook w:val="0400" w:firstRow="0" w:lastRow="0" w:firstColumn="0" w:lastColumn="0" w:noHBand="0" w:noVBand="1"/>
      </w:tblPr>
      <w:tblGrid>
        <w:gridCol w:w="1627"/>
        <w:gridCol w:w="3942"/>
        <w:gridCol w:w="992"/>
        <w:gridCol w:w="1276"/>
        <w:gridCol w:w="1704"/>
        <w:gridCol w:w="1698"/>
        <w:gridCol w:w="3193"/>
        <w:gridCol w:w="1316"/>
      </w:tblGrid>
      <w:tr>
        <w:trPr>
          <w:trHeight w:val="20"/>
        </w:trPr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textDirection w:val="lrTb"/>
            <w:noWrap w:val="false"/>
          </w:tcPr>
          <w:p>
            <w:pPr>
              <w:ind w:left="-119" w:right="-141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Критерий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vAlign w:val="center"/>
            <w:textDirection w:val="lrTb"/>
            <w:noWrap w:val="false"/>
          </w:tcPr>
          <w:p>
            <w:pPr>
              <w:ind w:left="-70" w:right="-75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Показатель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5"/>
            <w:shd w:val="clear" w:color="auto" w:fill="d9d9d9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8863" w:type="dxa"/>
            <w:vAlign w:val="center"/>
            <w:textDirection w:val="lrTb"/>
            <w:noWrap w:val="false"/>
          </w:tcPr>
          <w:p>
            <w:pPr>
              <w:ind w:left="-58" w:right="-63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Результаты оценки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316" w:type="dxa"/>
            <w:vAlign w:val="center"/>
            <w:vMerge w:val="restart"/>
            <w:textDirection w:val="lrTb"/>
            <w:noWrap w:val="false"/>
          </w:tcPr>
          <w:p>
            <w:pPr>
              <w:ind w:left="-112" w:right="-142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Номер фото/ скриншота, иного документа, подтверж-дающего наличие информации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3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restart"/>
            <w:textDirection w:val="lrTb"/>
            <w:noWrap w:val="false"/>
          </w:tcPr>
          <w:p>
            <w:pPr>
              <w:ind w:left="-119" w:right="-141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1. Открытость и доступность информации об организации 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none" w:color="000000" w:sz="4" w:space="0"/>
              <w:left w:val="single" w:color="000000" w:sz="4" w:space="0"/>
              <w:right w:val="single" w:color="000000" w:sz="4" w:space="0"/>
            </w:tcBorders>
            <w:tcW w:w="394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1.2. Наличие на официальном сайте организации социальной сферы в сети Интернет информации дистанционных способах обратной связи и взаимодействия с получателями услуг и их функционирование: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наличие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-58" w:right="-63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1 – да, 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-58" w:right="-63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0 - нет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vAlign w:val="bottom"/>
            <w:textDirection w:val="lrTb"/>
            <w:noWrap w:val="false"/>
          </w:tcPr>
          <w:p>
            <w:pPr>
              <w:ind w:left="-58" w:right="-63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функционирование 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698" w:type="dxa"/>
            <w:vMerge w:val="restart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итоговое значение 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-58" w:right="-63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произведение если значение в столбце 3 = 1, то произведение значений столбца 2 и 4,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-58" w:right="-63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если столбец 3=0, то «нет информации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3193" w:type="dxa"/>
            <w:vMerge w:val="restart"/>
            <w:textDirection w:val="lrTb"/>
            <w:noWrap w:val="false"/>
          </w:tcPr>
          <w:p>
            <w:pPr>
              <w:ind w:left="-58" w:right="-63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Комментарии, замечания, выявленные недостатки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31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d9d9d9"/>
            <w:tcBorders>
              <w:top w:val="none" w:color="000000" w:sz="4" w:space="0"/>
              <w:left w:val="single" w:color="000000" w:sz="4" w:space="0"/>
              <w:right w:val="single" w:color="000000" w:sz="4" w:space="0"/>
            </w:tcBorders>
            <w:tcW w:w="394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d9d9d9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проводилась ли проверка: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1 – да, 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 – нет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pPr>
              <w:ind w:left="-39" w:right="-34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1 – да, 0,5 – не в полной мере (несоответствие более 60% установленных требований/ рекомендаций),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0 - нет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698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3193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31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vAlign w:val="center"/>
            <w:textDirection w:val="lrTb"/>
            <w:noWrap w:val="false"/>
          </w:tcPr>
          <w:p>
            <w:pPr>
              <w:ind w:left="454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3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bottom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4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98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7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34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vAlign w:val="top"/>
            <w:textDirection w:val="lrTb"/>
            <w:noWrap w:val="false"/>
          </w:tcPr>
          <w:p>
            <w:pPr>
              <w:ind w:left="40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Телефон (по указанному номеру отвечает сотрудник организации, общается вежливо и предоставляет ответы на вопросы получателя услуг)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98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top"/>
            <w:textDirection w:val="lrTb"/>
            <w:noWrap w:val="false"/>
          </w:tcPr>
          <w:p>
            <w:pPr>
              <w:ind w:left="-35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Коммуникация по телефону доступна получателям услуг, но общение происходит не в доброжелательной форме, дозвониться сложно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или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-90" w:right="-10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При общении с представителем организации происходит переадресация на других специалистов, которым дозвониться невозможно, ответ на поставленный вопрос недоступен  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-90" w:right="-10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Если оба недостатка – 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-90" w:right="-10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0 баллов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ind w:left="-35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34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vAlign w:val="top"/>
            <w:textDirection w:val="lrTb"/>
            <w:noWrap w:val="false"/>
          </w:tcPr>
          <w:p>
            <w:pPr>
              <w:ind w:left="40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Электронная почта (можно отправить сообщение, получить информацию о его доставке и прочтении, предоставляется ответ в течение суток о полученном сообщении и ответ, либо информация о сроках содержательного ответа)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98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top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Ответ на 2 тестовых письма не получен в течение недели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или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Пришло сообщение о несуществующем адресе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53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vAlign w:val="top"/>
            <w:textDirection w:val="lrTb"/>
            <w:noWrap w:val="false"/>
          </w:tcPr>
          <w:p>
            <w:pPr>
              <w:ind w:left="40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Электронные сервисы (указанные сервисы позволяют оставить сообщение, коммуникация по обращению ведется непосредственно на сайте или через внешние сервисы (почта, чат, мессенджер и пр.), консультация предоставляется в полном объеме по запрос):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454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форма для подачи электронного обращения (жалобы, предложения)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98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top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Обращение или жалоба формируется, но ответа о получении, формах и сроках ответа не предоставляется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153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vAlign w:val="top"/>
            <w:textDirection w:val="lrTb"/>
            <w:noWrap w:val="false"/>
          </w:tcPr>
          <w:p>
            <w:pPr>
              <w:ind w:left="454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получение консультации по оказываемым услугам и пр.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40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98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top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По запросу на сайте с просьбой о консультации по пакету документов, необходимых для получения услуги, был получен ответ о необходимости очного посещения для получения необходимой информации 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34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vAlign w:val="top"/>
            <w:textDirection w:val="lrTb"/>
            <w:noWrap w:val="false"/>
          </w:tcPr>
          <w:p>
            <w:pPr>
              <w:ind w:left="40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Раздел «Часто задаваемые вопросы»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98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top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vAlign w:val="top"/>
            <w:textDirection w:val="lrTb"/>
            <w:noWrap w:val="false"/>
          </w:tcPr>
          <w:p>
            <w:pPr>
              <w:ind w:left="40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Техническая возможность выражения мнения получателем услуг о качестве условий оказания услуг (наличие анкеты для опроса, гиперссылки или QR-кода для перехода на нее)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98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top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Анкета размещена, но кнопка «отправить» не работает</w:t>
            </w:r>
            <w:r>
              <w:rPr>
                <w:sz w:val="18"/>
                <w:szCs w:val="18"/>
              </w:rPr>
            </w:r>
            <w:r/>
          </w:p>
          <w:p>
            <w:pPr>
              <w:spacing w:after="0" w:line="216" w:lineRule="auto"/>
              <w:widowControl w:val="off"/>
              <w:tabs>
                <w:tab w:val="left" w:pos="665" w:leader="none"/>
                <w:tab w:val="center" w:pos="884" w:leader="none"/>
              </w:tabs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ab/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ab/>
              <w:t xml:space="preserve">или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Приведенный QR-код не ведет на страницу анкеты) 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5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vAlign w:val="top"/>
            <w:textDirection w:val="lrTb"/>
            <w:noWrap w:val="false"/>
          </w:tcPr>
          <w:p>
            <w:pPr>
              <w:ind w:left="40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Иное (указать)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1276" w:type="dxa"/>
            <w:vAlign w:val="bottom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1704" w:type="dxa"/>
            <w:vAlign w:val="bottom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1698" w:type="dxa"/>
            <w:vAlign w:val="bottom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3193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1316" w:type="dxa"/>
            <w:vMerge w:val="restart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vAlign w:val="top"/>
            <w:textDirection w:val="lrTb"/>
            <w:noWrap w:val="false"/>
          </w:tcPr>
          <w:p>
            <w:pPr>
              <w:ind w:left="454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чат-бот с получателями услуги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992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1276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1704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1698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3193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1316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</w:tr>
      <w:tr>
        <w:trPr>
          <w:trHeight w:val="98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vAlign w:val="top"/>
            <w:textDirection w:val="lrTb"/>
            <w:noWrap w:val="false"/>
          </w:tcPr>
          <w:p>
            <w:pPr>
              <w:ind w:left="454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ссылки на социальные сети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98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top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Страница «ВКонтакте» есть, но она не ведется, размещена информация годичной давности, ответа на сообщение в течение недели не поступило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vAlign w:val="top"/>
            <w:textDirection w:val="lrTb"/>
            <w:noWrap w:val="false"/>
          </w:tcPr>
          <w:p>
            <w:pPr>
              <w:ind w:left="454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ссылка на формирование обращения на Едином портала государственных и муниципальных услуг (ЕПГУ)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98" w:type="dxa"/>
            <w:vAlign w:val="center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top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Ссылка ведет не на форму подачи обращения, а просто в тематический раздел ЕПГУ. Необходимы дополнительные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действия для перехода к ожидаемому функционалу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42" w:type="dxa"/>
            <w:textDirection w:val="lrTb"/>
            <w:noWrap w:val="false"/>
          </w:tcPr>
          <w:p>
            <w:pPr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ВСЕГО дистанционных способов взаимодействия: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9</w:t>
            </w:r>
            <w:r>
              <w:rPr>
                <w:b/>
                <w:bCs/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000000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98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i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сумма 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по столбцу 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  <w:vertAlign w:val="superscript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 </w:t>
            </w:r>
            <w:r>
              <w:rPr>
                <w:rStyle w:val="1294"/>
                <w:color w:val="ffffff" w:themeColor="background1"/>
                <w:sz w:val="16"/>
                <w:szCs w:val="16"/>
              </w:rPr>
              <w:footnoteReference w:id="6"/>
            </w:r>
            <w:r/>
          </w:p>
        </w:tc>
        <w:tc>
          <w:tcPr>
            <w:shd w:val="clear" w:color="000000" w:themeColor="text1" w:fill="000000" w:themeFill="text1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000000" w:themeColor="text1" w:fill="000000" w:themeFill="text1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</w:tbl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/>
    </w:p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Подпись эксперта_______________________________________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  <w:t xml:space="preserve">Дата проведения оценки _____________________</w:t>
      </w:r>
      <w:r/>
    </w:p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Подпись руководителя организации социальной сферы ______________________________       Дата ознакомления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  <w:t xml:space="preserve">___________________</w:t>
      </w:r>
      <w:r/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br w:type="page" w:clear="all"/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Чек-лист проверки комфортности условий оказания услуг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jc w:val="center"/>
        <w:spacing w:after="0" w:line="240" w:lineRule="auto"/>
        <w:widowControl w:val="off"/>
        <w:rPr>
          <w:highlight w:val="none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в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дошкольной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образовательной 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организации</w:t>
      </w:r>
      <w:r/>
    </w:p>
    <w:p>
      <w:pPr>
        <w:ind w:left="709" w:right="0" w:hanging="709"/>
        <w:jc w:val="center"/>
        <w:spacing w:after="0" w:line="276" w:lineRule="auto"/>
        <w:widowControl w:val="off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18"/>
          <w:szCs w:val="18"/>
          <w:highlight w:val="none"/>
        </w:rPr>
        <w:t xml:space="preserve">(разработан на основании Приложения 2 к Порядку действий в рамках сбора информации о качестве условий оказания услуг Методических реком</w:t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ендаций по организации работы в рамках проведения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экспертизы, утвержденных приказом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Минтруда России от 28.12.2023 года № 899, и Методических рекомендаций 2025 года к единому порядку расчета показателей независимой оценки качества условий осуществления образовательной деятельности организациями, осуществляющими образователь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ную деятельность по основным общеобразовательным программам, образовательным программам среднего профессионального образования, основным программам профессионального обучения, дополнительным общеобразовательным программам (с учетом отраслевых особенностей)</w:t>
      </w:r>
      <w:r>
        <w:rPr>
          <w:rFonts w:ascii="Times New Roman" w:hAnsi="Times New Roman" w:cs="Times New Roman"/>
          <w:sz w:val="18"/>
          <w:szCs w:val="18"/>
          <w:highlight w:val="none"/>
        </w:rPr>
      </w:r>
      <w:r/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ФИО эксперта_______________________________________________________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</w:rPr>
        <w:t xml:space="preserve">Наименование организации ______________________________________________________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/>
      <w:bookmarkStart w:id="20" w:name="_44sinio"/>
      <w:r/>
      <w:bookmarkEnd w:id="20"/>
      <w:r>
        <w:rPr>
          <w:rFonts w:ascii="Times New Roman" w:hAnsi="Times New Roman" w:eastAsia="Times New Roman" w:cs="Times New Roman"/>
          <w:i/>
          <w:color w:val="000000"/>
        </w:rPr>
        <w:t xml:space="preserve">Проставьте соответствующие баллы в пустых ячейках формы</w:t>
      </w:r>
      <w:r/>
    </w:p>
    <w:tbl>
      <w:tblPr>
        <w:tblStyle w:val="1321"/>
        <w:tblW w:w="15767" w:type="dxa"/>
        <w:tblInd w:w="-426" w:type="dxa"/>
        <w:tblLayout w:type="fixed"/>
        <w:tblLook w:val="0400" w:firstRow="0" w:lastRow="0" w:firstColumn="0" w:lastColumn="0" w:noHBand="0" w:noVBand="1"/>
      </w:tblPr>
      <w:tblGrid>
        <w:gridCol w:w="1619"/>
        <w:gridCol w:w="2383"/>
        <w:gridCol w:w="293"/>
        <w:gridCol w:w="2821"/>
        <w:gridCol w:w="10"/>
        <w:gridCol w:w="1125"/>
        <w:gridCol w:w="1286"/>
        <w:gridCol w:w="1408"/>
        <w:gridCol w:w="10"/>
        <w:gridCol w:w="1478"/>
        <w:gridCol w:w="10"/>
        <w:gridCol w:w="9"/>
        <w:gridCol w:w="2039"/>
        <w:gridCol w:w="1276"/>
      </w:tblGrid>
      <w:tr>
        <w:trPr>
          <w:trHeight w:val="20"/>
        </w:trPr>
        <w:tc>
          <w:tcPr>
            <w:shd w:val="clear" w:color="auto" w:fill="d0cec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vAlign w:val="center"/>
            <w:textDirection w:val="lrTb"/>
            <w:noWrap w:val="false"/>
          </w:tcPr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Критерий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4"/>
            <w:shd w:val="clear" w:color="auto" w:fill="d0cec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7" w:type="dxa"/>
            <w:vAlign w:val="center"/>
            <w:textDirection w:val="lrTb"/>
            <w:noWrap w:val="false"/>
          </w:tcPr>
          <w:p>
            <w:pPr>
              <w:ind w:left="-58" w:right="-63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Показатель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8"/>
            <w:shd w:val="clear" w:color="auto" w:fill="d0cece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365" w:type="dxa"/>
            <w:textDirection w:val="lrTb"/>
            <w:noWrap w:val="false"/>
          </w:tcPr>
          <w:p>
            <w:pPr>
              <w:ind w:left="-58" w:right="-63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Результаты оценки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0cece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left="-108" w:right="-103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Номер фото/ скриншота, иного документа, подтверж-дающего наличие и состояние условий комфортности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5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vAlign w:val="center"/>
            <w:vMerge w:val="restart"/>
            <w:textDirection w:val="lrTb"/>
            <w:noWrap w:val="false"/>
          </w:tcPr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 2. Комфортность условий предоставления 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услуг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2.1. Обеспечение в организации  комфортных условий для предоставления услуг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Характеристика состояния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наличие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1- да,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0 - нет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Соответствие требованиям, состояние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1 – хорошее (все характеристики обеспечиваются)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0,5- удовлетворительное (часть характеристики отсутствует/не выполнено)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 – неудовлетворительное (отсутствуют все или большая часть характеристик)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итоговая оценка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произведение столбцов 3 и 4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3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Комментарии, замечания, выявленные недостатки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0cece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2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3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4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3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7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комфортной зоны отдыха (ожидания) оборудованной соответствующей мебелью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4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наличие в организации мест отдыха (рекреационных зон), оборудованных необходимой мебелью (стулья, кресла, скамьи и пр.)</w:t>
            </w:r>
            <w:r>
              <w:rPr>
                <w:sz w:val="18"/>
                <w:szCs w:val="18"/>
              </w:rPr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количество мест достаточно для размещения посетителей во время «пиковой нагрузки» в организации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8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и понятность навигации внутри организации 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4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на каждом этаже размещены поэтажные схемы помещений, при необходимости они дублированы на первом этажах здания,</w:t>
            </w:r>
            <w:r>
              <w:rPr>
                <w:sz w:val="18"/>
                <w:szCs w:val="18"/>
              </w:rPr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присутствуют указатели и кабинетные таблички, позволяющие идентифицировать помещения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организации,</w:t>
            </w:r>
            <w:r>
              <w:rPr>
                <w:sz w:val="18"/>
                <w:szCs w:val="18"/>
              </w:rPr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по всему зданию размещены специальные указатели, информирующие об основных и запасных выходах из здания, расположении лифтов, пандусов и иных технических средств передвижения (для маломобильных групп граждан),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8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и доступность питьевой воды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4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в помещениях организации размещены кулеры с питьевой водой или обеспечена иная возможность доступа к питьевой воде (бутилированная вода, термоспоты, чайники и пр.),</w:t>
            </w:r>
            <w:r>
              <w:rPr>
                <w:sz w:val="18"/>
                <w:szCs w:val="18"/>
              </w:rPr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вода в наличии в течение всего времени работы организации, имеются сменные бутыли, </w:t>
            </w:r>
            <w:r>
              <w:rPr>
                <w:sz w:val="18"/>
                <w:szCs w:val="18"/>
              </w:rPr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заключены договоры с поставщиками на поставку воды на срок не менее 6 месяцев,</w:t>
            </w:r>
            <w:r>
              <w:rPr>
                <w:sz w:val="18"/>
                <w:szCs w:val="18"/>
              </w:rPr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доступ к питьевой воде обеспечен на каждом этаже здания и в каждом обособленном подразделении организации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8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и доступность санитарно-гигиенических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помещений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4" w:type="dxa"/>
            <w:textDirection w:val="lrTb"/>
            <w:noWrap w:val="false"/>
          </w:tcPr>
          <w:p>
            <w:pPr>
              <w:ind w:left="41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санитарно-гигиенические помещения имеются в необходимом количестве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vertAlign w:val="superscript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color w:val="ffffff" w:themeColor="background1"/>
                <w:sz w:val="18"/>
                <w:szCs w:val="18"/>
                <w:vertAlign w:val="superscript"/>
              </w:rPr>
              <w:footnoteReference w:id="7"/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,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41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соблюдается чистота помещений, 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41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средства гигиены (мыло, бумажные полотенца, туалетная бумага) имеются в достаточном количестве, регулярно пополняется их наличие на местах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41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в помещениях обеспечен доступ к холодному и горячему водоснабжению, в случае отсутствия централизованного горячего водоснабжения установлены водонагревающие устройства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20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8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83" w:type="dxa"/>
            <w:vAlign w:val="center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санитарное состояние помещений организации 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14" w:type="dxa"/>
            <w:textDirection w:val="lrTb"/>
            <w:noWrap w:val="false"/>
          </w:tcPr>
          <w:p>
            <w:pPr>
              <w:ind w:left="41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наличие и соблюдение графика уборки в помещениях организации,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41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уборка проводится с использованием чистящих средств, средств, предусмотрено проведение дезинфекционных мероприятий с соблюдением установленных санитарно-эпидемиологических требований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vertAlign w:val="superscript"/>
              </w:rPr>
              <w:footnoteReference w:id="8"/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,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41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в помещениях организации отсутствуют посторонние (неприятные) запахи, грибок, плесень, а также насекомые, грызуны и следы их жизнедеятельности; 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41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в помещениях организации и на прилегающей территории оборудованы специальные места для сбора мусора (урны, уличные мусоросборники и т.п.)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41"/>
              <w:spacing w:after="0"/>
              <w:widowControl w:val="off"/>
              <w:rPr>
                <w:rFonts w:ascii="Times New Roman" w:hAnsi="Times New Roman" w:eastAsia="Times New Roman" w:cs="Times New Roman"/>
                <w:color w:val="ffffff" w:themeColor="background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в медицинских организациях и помещениях медицинского назначения дополнительно соблюдаются соответствующие санитарно-эпидемиологические требования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vertAlign w:val="superscript"/>
              </w:rPr>
              <w:t xml:space="preserve">6</w:t>
            </w:r>
            <w:r>
              <w:rPr>
                <w:color w:val="ffffff" w:themeColor="background1"/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5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8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61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gridSpan w:val="4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07" w:type="dxa"/>
            <w:vAlign w:val="center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ВСЕГО выполненных условий комфортности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4"/>
            <w:shd w:val="clear" w:color="000000" w:themeColor="text1" w:fill="000000" w:themeFill="text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9" w:type="dxa"/>
            <w:vAlign w:val="bottom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Сумма по столбцу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000000" w:themeColor="text1" w:fill="000000" w:themeFill="text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8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000000" w:themeColor="text1" w:fill="000000" w:themeFill="text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</w:tbl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/>
    </w:p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Подпись эксперта_______________________________________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  <w:t xml:space="preserve">Дата проведения оценки _____________________</w:t>
      </w:r>
      <w:r/>
    </w:p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Подпись руководителя дошкольной образовательной организации _________________       Дата ознакомления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  <w:t xml:space="preserve">___________________</w:t>
      </w:r>
      <w:r>
        <w:br w:type="page" w:clear="all"/>
      </w:r>
      <w:r/>
    </w:p>
    <w:p>
      <w:pPr>
        <w:ind w:left="709" w:right="0" w:hanging="709"/>
        <w:jc w:val="center"/>
        <w:spacing w:after="0" w:line="276" w:lineRule="auto"/>
        <w:widowControl w:val="off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Чек-лист проверки доступности услуг 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дошкольной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образовательной </w:t>
      </w: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организации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 для инвалидов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(разработан на основании Приложения 2 к Порядку действий в рамках сбора информации о качестве условий оказания услуг Методических реком</w:t>
      </w:r>
      <w:r>
        <w:rPr>
          <w:rFonts w:ascii="Times New Roman" w:hAnsi="Times New Roman" w:cs="Times New Roman"/>
          <w:sz w:val="18"/>
          <w:szCs w:val="18"/>
          <w:highlight w:val="none"/>
        </w:rPr>
        <w:t xml:space="preserve">ендаций по организации работы в рамках проведения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экспертизы, утвержденных приказом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Минтруда России от 28.12.2023 года № 899, и Методических рекомендации 2024 года к единому порядку расчета показателей независимой оценки качества условий осуществления образовательной деятельности организациями, осуществляющими образователь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ную деятельность по основным общеобразовательным программам, образовательным программам среднего профессионального образования, основным программам профессионального обучения, дополнительным общеобразовательным программам (с учетом отраслевых особенностей)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ФИО эксперта_______________________________________________________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</w:rPr>
        <w:t xml:space="preserve">Наименование организации ______________________________________________________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i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 xml:space="preserve">Проставьте соответствующие баллы в пустых ячейках формы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/>
    </w:p>
    <w:tbl>
      <w:tblPr>
        <w:tblStyle w:val="1322"/>
        <w:tblW w:w="15730" w:type="dxa"/>
        <w:tblInd w:w="-426" w:type="dxa"/>
        <w:tblLayout w:type="fixed"/>
        <w:tblLook w:val="0400" w:firstRow="0" w:lastRow="0" w:firstColumn="0" w:lastColumn="0" w:noHBand="0" w:noVBand="1"/>
      </w:tblPr>
      <w:tblGrid>
        <w:gridCol w:w="1694"/>
        <w:gridCol w:w="2413"/>
        <w:gridCol w:w="3120"/>
        <w:gridCol w:w="15"/>
        <w:gridCol w:w="1084"/>
        <w:gridCol w:w="2585"/>
        <w:gridCol w:w="15"/>
        <w:gridCol w:w="1473"/>
        <w:gridCol w:w="15"/>
        <w:gridCol w:w="1899"/>
        <w:gridCol w:w="1417"/>
      </w:tblGrid>
      <w:tr>
        <w:trPr>
          <w:trHeight w:val="20"/>
        </w:trPr>
        <w:tc>
          <w:tcPr>
            <w:shd w:val="clear" w:color="auto" w:fill="d0cec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694" w:type="dxa"/>
            <w:vAlign w:val="center"/>
            <w:textDirection w:val="lrTb"/>
            <w:noWrap w:val="false"/>
          </w:tcPr>
          <w:p>
            <w:pPr>
              <w:ind w:left="-119" w:right="-141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Критерий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0cec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3" w:type="dxa"/>
            <w:vAlign w:val="center"/>
            <w:textDirection w:val="lrTb"/>
            <w:noWrap w:val="false"/>
          </w:tcPr>
          <w:p>
            <w:pPr>
              <w:ind w:left="-70" w:right="-75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Показатель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8"/>
            <w:shd w:val="clear" w:color="auto" w:fill="d0cece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6" w:type="dxa"/>
            <w:textDirection w:val="lrTb"/>
            <w:noWrap w:val="false"/>
          </w:tcPr>
          <w:p>
            <w:pPr>
              <w:ind w:left="-58" w:right="-63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Результаты оценки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0cece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-129" w:right="-12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Номер фото/ скриншота, иного документа, подтверж-дающего наличие и состояние условий доступности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5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restart"/>
            <w:textDirection w:val="lrTb"/>
            <w:noWrap w:val="false"/>
          </w:tcPr>
          <w:p>
            <w:pPr>
              <w:ind w:left="-119" w:right="-141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 3. Доступность услуг для инвалидов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4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3.1. Оборудование территории, прилегающей к организации социальной сферы, и ее помещений с учетом доступности для инвалидов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Характеристика состояния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Наличие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1- да, 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0 - нет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Соответствие требованиям, состояние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-63" w:right="-9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1 – хорошее (все характеристики обеспечиваются)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-63" w:right="-9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0,5- удовлетворительное (часть характеристики отсутствует/не выполнено)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-63" w:right="-9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 – неудовлетворительное (отсутствуют все или большая часть характеристик)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ind w:left="-68" w:right="-90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Итоговая оценка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-68" w:right="-90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произведение столбцов 3 и 4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Комментарии, замечания, выявленные недостатки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0cece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shd w:val="clear" w:color="auto" w:fill="d9d9d9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4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2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3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4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9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7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3" w:type="dxa"/>
            <w:vAlign w:val="top"/>
            <w:textDirection w:val="lrTb"/>
            <w:noWrap w:val="false"/>
          </w:tcPr>
          <w:p>
            <w:pPr>
              <w:ind w:left="108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оборудованных входных групп пандусами/подъемными платформами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оборудование входа ровной площадкой непосредственно перед входной дверью для обеспечения его доступности для инвалидов на креслах-колясках;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расположение пандуса и входной двери в сочетании с направлением пути подхода;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при входе в организацию оборудована кнопка вызова сопровождающего;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оборудование выхода со специальных парковочных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мест бордюрными пандусами, расположенными в непосредственной близости от них;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входные группы достаточной ширины для проезда инвалидной коляски;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использование специальных ограждений и тактильных направляющих для лиц с нарушениями зрения,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использование визуально отличающегося цвета поверхности пандуса от цвета горизонтальной площадки;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прочное закрепление противоскользящей поверхности пандусов;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обеспечение возможности входа и выхода из здания, в том числе с использованием специальных подъемных устройств или обеспечение альтернативного способа преодоления перепада высот с помощью ступеней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09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58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3" w:type="dxa"/>
            <w:vAlign w:val="top"/>
            <w:textDirection w:val="lrTb"/>
            <w:noWrap w:val="false"/>
          </w:tcPr>
          <w:p>
            <w:pPr>
              <w:ind w:left="108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выделенных стоянок для автотранспортных средств инвалидов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размещение специальных парковочных мест рядом друг с другом, 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обозначение их местонахождения указателем, расположенным рядом с главным входом в здание;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обозначение специальных парковочных мест наземной разметкой с обозначением как на поверхности парковки, так и с помощью вертикального знака;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создание системы управления/наблюдения,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чтобы выделенные специальные парковочные места использовались только инвалидами;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расположение специальных парковочных мест как можно ближе к входу в сооружение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возможность посадки в транспортное средство и высадки из него перед входом в объект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413" w:type="dxa"/>
            <w:vAlign w:val="top"/>
            <w:textDirection w:val="lrTb"/>
            <w:noWrap w:val="false"/>
          </w:tcPr>
          <w:p>
            <w:pPr>
              <w:ind w:left="108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адаптированных лифтов, поручней, расширенных дверных проемов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обеспечение противоскользящих свойств ступеней на лестницах,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обеспечено отличие по цвету и яркости предохранительной оковки каждой ступени лестниц от примыкающей к ней ступени, 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устройство входного вестибюля оборудовано с учетом предоставления инвалиду в кресле-коляске возможности проезда и поворота по шир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ине и длине помещения (не менее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1,8 м);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вдоль свободных участков стен в безбарьерной зоне организации предусмотрены опорные поручни на высоте 0,7 и 0,9 м 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413" w:type="dxa"/>
            <w:vAlign w:val="top"/>
            <w:textDirection w:val="lrTb"/>
            <w:noWrap w:val="false"/>
          </w:tcPr>
          <w:p>
            <w:pPr>
              <w:ind w:left="108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сменных кресел-колясок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312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имеются в наличии сменные кресла-коляски в количестве, достаточном для обеспечения не менее 10% контингента получателей услуг-инвалидов ед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иновременно, но не менее одного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3" w:type="dxa"/>
            <w:vAlign w:val="top"/>
            <w:textDirection w:val="lrTb"/>
            <w:noWrap w:val="false"/>
          </w:tcPr>
          <w:p>
            <w:pPr>
              <w:ind w:left="108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специально оборудованных для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инвалидов 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108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санитарно- гигиенических помещений 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20" w:type="dxa"/>
            <w:vAlign w:val="bottom"/>
            <w:textDirection w:val="lrTb"/>
            <w:noWrap w:val="false"/>
          </w:tcPr>
          <w:p>
            <w:pPr>
              <w:ind w:right="-247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санитарно-гигиенические помещения размещены в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непосредственной близости (доступности) от основных входов, въездов, коммуникационных узлов здания организации,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в санитарно- гигиенических помещениях имеется кнопка вызова персонала; 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ширина прохода между рядами кабин, между стеной и рядом кабин, между писсуарами и линией открытых дверей противостоящего ряда кабин - не менее 1,8 м 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санитарные комнаты оборудованы опорными поручнями у унитазов и раковин;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испол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ьзуются адаптационные приспособления для инвалидов (специальные унитазы, раковины, раковины для инвалидов с локтевым смесителем; травмобезопасный держатель (крючок); травмобезопасное поворотное зеркало; сенсорный дозатор мыла; тактильные пиктограммы и др.)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09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55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ВСЕГО выполненных условий доступности услуг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3"/>
            <w:shd w:val="clear" w:color="auto" w:fill="000000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68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  <w:i/>
                <w:color w:val="000000"/>
                <w:sz w:val="16"/>
                <w:szCs w:val="16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Сумма по столбцу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000000" w:themeColor="text1" w:fill="000000" w:themeFill="text1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000000" w:themeColor="text1" w:fill="000000" w:themeFill="text1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d9d9d9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4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3.2. Обеспечение в организации социальной сферы условий доступности, позволяющих инвалидам получать услуги наравне с другими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Характеристика состояния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наличие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1- да, 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0 - нет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Соответствие требованиям, состояние</w:t>
            </w:r>
            <w:r>
              <w:rPr>
                <w:sz w:val="18"/>
                <w:szCs w:val="18"/>
              </w:rPr>
            </w:r>
            <w:r/>
          </w:p>
          <w:p>
            <w:pPr>
              <w:ind w:left="-76" w:right="-109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1 – хорошее (все характеристики обеспечиваются)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0,5- удовлетворительное (часть характеристики отсутствует/не выполнено)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 – неудовлетворительное (отсутствуют все или большая часть характеристик)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Итоговая оценка</w:t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произведение столбцов 3 и 4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Комментарии, замечания, выявленные недостатки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-112" w:right="-105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Номер фото/ скриншота, иного документа, подтверж-дающего наличие и состояние условий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доступности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</w:r>
            <w:r/>
          </w:p>
        </w:tc>
        <w:tc>
          <w:tcPr>
            <w:shd w:val="clear" w:color="auto" w:fill="d9d9d9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4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1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2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3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4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9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6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7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Дублирование для инвалидов по слуху и зрению звуковой и зрительной информаци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наличие визуально-акустических систем, позволяющих получать информацию одновременно зрительным и звуковым способом;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табло, воспроизводящих визуально-речевые сообщения;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звуковых маяков для воспроизведения аудиосообщений с целью информирования незрячих и слабовидящих посетителей о </w:t>
            </w: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16"/>
                <w:szCs w:val="16"/>
              </w:rPr>
              <w:t xml:space="preserve">том, какие услуги могут получить,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 как пройти и какие препятствия есть на пути следования;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наличие навигационных систем для слабовидящих и незрячих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41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Дублирование надписей, знаков и иной текстовой и графической информации знаками, выполненными рельефно-точечным шрифтом Брайля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наличие при входе в объект вывески с названием организации, графиком работы организации, плана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здания, выполненных рельефно-точечным шрифтом Брайля и на контрастном фоне;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надлежащее размещение носителей информации, необходимой для обеспечения беспрепятственного доступа инвалидов к объектам и услугам с учетом ограничений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их жизнедеятельности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  <w:vertAlign w:val="superscript"/>
              </w:rPr>
              <w:footnoteReference w:id="9"/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41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Возможность предоставления инвалидам по слуху (слуху и зрению) услуг сурдопереводчика (тифлосурдопереводчика)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в организации есть специалист сурдопереводчик (тифлосурдопереводчик) в штате (если это востребованная услуга) или договор с организациями системы социальной защиты или обществом глухих по предоставлению таких услуг в случае необходимости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41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альтернативной версии официального сайта организации (учреждения) для инвалидов по зрению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vertAlign w:val="superscript"/>
              </w:rPr>
              <w:footnoteReference w:id="10"/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Альтернативная (адаптированная) версия сайта должна: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предоставлять возможность масштабировать текст на сайте;</w:t>
            </w:r>
            <w:r>
              <w:rPr>
                <w:sz w:val="16"/>
                <w:szCs w:val="16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имеет экранный диктор (звуковой синтезатор речи) для слабовидящих и незрячих пользователей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9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413" w:type="dxa"/>
            <w:textDirection w:val="lrTb"/>
            <w:noWrap w:val="false"/>
          </w:tcPr>
          <w:p>
            <w:pPr>
              <w:ind w:right="-105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Помощь, оказываемая работниками организации (учреждения), прошедшими необходимое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обучение (инструктирование) по сопровождению инвалидов в помещениях организации (учреждения) и на прилегающей территории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vAlign w:val="bottom"/>
            <w:textDirection w:val="lrTb"/>
            <w:noWrap w:val="false"/>
          </w:tcPr>
          <w:p>
            <w:pPr>
              <w:ind w:right="-105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В организации:</w:t>
            </w:r>
            <w:r>
              <w:rPr>
                <w:sz w:val="16"/>
                <w:szCs w:val="16"/>
              </w:rPr>
            </w:r>
            <w:r/>
          </w:p>
          <w:p>
            <w:pPr>
              <w:ind w:right="-105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проведены инструктаж или обучения для работников, работающих с инвалидами, по 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вопросам, связанным с обеспечением доступности для инвалидов объектов и услуг с учетом имеющихся у них ограничений и расстройств (есть журнал проведения инструктажа с ознакомительными подписями сотрудников или копии документов о прохождении обучения);</w:t>
            </w:r>
            <w:r>
              <w:rPr>
                <w:sz w:val="16"/>
                <w:szCs w:val="16"/>
              </w:rPr>
            </w:r>
            <w:r/>
          </w:p>
          <w:p>
            <w:pPr>
              <w:ind w:right="-105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обеспечена возможность вызова сотрудника при потребности получателя услуги-инвалида в сопровождения (специальную кнопку вызова или через службу охраны).</w:t>
            </w:r>
            <w:r>
              <w:rPr>
                <w:sz w:val="16"/>
                <w:szCs w:val="16"/>
              </w:rPr>
            </w:r>
            <w:r/>
          </w:p>
          <w:p>
            <w:pPr>
              <w:ind w:right="-105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При поступлении информации (вызова) о необходимости предоставления услуг по сопровождению лиц с ограниченными физическими возможностями соответствующий работник организации:</w:t>
            </w:r>
            <w:r>
              <w:rPr>
                <w:sz w:val="16"/>
                <w:szCs w:val="16"/>
              </w:rPr>
            </w:r>
            <w:r/>
          </w:p>
          <w:p>
            <w:pPr>
              <w:ind w:right="-105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обеспечивает сопровождение инвалида (лица с ОВЗ) до места предоставления услуги (до непосредственного специалиста), </w:t>
            </w:r>
            <w:r>
              <w:rPr>
                <w:sz w:val="16"/>
                <w:szCs w:val="16"/>
              </w:rPr>
            </w:r>
            <w:r/>
          </w:p>
          <w:p>
            <w:pPr>
              <w:ind w:right="-105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оказывает содействие в беспрепятственном получении услуги,</w:t>
            </w: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r>
            <w:r/>
          </w:p>
          <w:p>
            <w:pPr>
              <w:ind w:right="-105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- сопровождает до выхода из здания после получения услуги 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41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возможности предоставления услуги в дистанционном режиме или на дому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20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  <w:t xml:space="preserve">Да/нет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99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85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554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highlight w:val="none"/>
              </w:rPr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ВСЕГО выполненных условий доступности услуг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3"/>
            <w:shd w:val="clear" w:color="auto" w:fill="000000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684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Сумма по столбцу</w:t>
            </w:r>
            <w:r>
              <w:rPr>
                <w:sz w:val="16"/>
                <w:szCs w:val="16"/>
              </w:rPr>
            </w:r>
            <w:r/>
          </w:p>
        </w:tc>
        <w:tc>
          <w:tcPr>
            <w:shd w:val="clear" w:color="000000" w:themeColor="text1" w:fill="000000" w:themeFill="text1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clear" w:color="000000" w:themeColor="text1" w:fill="000000" w:themeFill="text1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/>
          </w:p>
        </w:tc>
      </w:tr>
    </w:tbl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r>
      <w:r/>
    </w:p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Подпись эксперта_______________________________________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  <w:t xml:space="preserve">Дата проведения оценки _____________________</w:t>
      </w:r>
      <w:r/>
    </w:p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Подпись руководителя организации социальной сферы ______________________________       Дата ознакомления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  <w:t xml:space="preserve">___________________</w:t>
      </w:r>
      <w:r/>
    </w:p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6838" w:h="11906" w:orient="landscape"/>
      <w:pgMar w:top="964" w:right="1276" w:bottom="737" w:left="1021" w:header="709" w:footer="709" w:gutter="0"/>
      <w:cols w:num="1" w:sep="0" w:space="720" w:equalWidth="1"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3134" w:date="2023-12-13T13:16:00Z" w:initials="3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предлагаю добавить, что вносят сведения о результатах НОК на официальном сайте для рассмотрения и дальнейшего размещения уполномоченным органом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Document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4F7E0C5B" w16cex:dateUtc="2023-12-13T10:16:08Z"/>
</w16cex:commentsExtensible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4F7E0C5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panose1 w:val="020B050204050402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2040504020204"/>
  </w:font>
  <w:font w:name="Georgia">
    <w:panose1 w:val="020405020504050203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850307"/>
      <w:showingPlcHdr w:val="true"/>
      <w:docPartObj>
        <w:docPartGallery w:val="Page Numbers (Bottom of Page)"/>
        <w:docPartUnique w:val="true"/>
      </w:docPartObj>
      <w:rPr/>
    </w:sdtPr>
    <w:sdtContent>
      <w:p>
        <w:r>
          <w:t xml:space="preserve">    </w:t>
        </w:r>
        <w:r/>
      </w:p>
    </w:sdtContent>
  </w:sdt>
  <w:p>
    <w:pPr>
      <w:jc w:val="right"/>
      <w:spacing w:after="0" w:line="240" w:lineRule="auto"/>
      <w:tabs>
        <w:tab w:val="center" w:pos="4677" w:leader="none"/>
        <w:tab w:val="right" w:pos="9355" w:leader="none"/>
      </w:tabs>
      <w:rPr>
        <w:rFonts w:ascii="Times New Roman" w:hAnsi="Times New Roman" w:cs="Times New Roman"/>
        <w:color w:val="000000"/>
        <w:sz w:val="24"/>
        <w:szCs w:val="24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>
      <w:rPr>
        <w:rFonts w:ascii="Times New Roman" w:hAnsi="Times New Roman" w:cs="Times New Roman"/>
        <w:color w:val="000000"/>
        <w:sz w:val="24"/>
        <w:szCs w:val="24"/>
      </w:rPr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after="0" w:line="240" w:lineRule="auto"/>
      <w:tabs>
        <w:tab w:val="center" w:pos="4677" w:leader="none"/>
        <w:tab w:val="right" w:pos="9355" w:leader="none"/>
      </w:tabs>
      <w:rPr>
        <w:color w:val="000000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>
      <w:rPr>
        <w:color w:val="000000"/>
      </w:rPr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after="0" w:line="240" w:lineRule="auto"/>
      <w:tabs>
        <w:tab w:val="center" w:pos="4677" w:leader="none"/>
        <w:tab w:val="right" w:pos="9355" w:leader="none"/>
      </w:tabs>
      <w:rPr>
        <w:color w:val="000000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>
      <w:rPr>
        <w:color w:val="000000"/>
      </w:rPr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vertAlign w:val="superscript"/>
        </w:rPr>
        <w:footnoteRef/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 Эксперт – пред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ставитель организации, осуществляющей сбор и обобщение информации (Оператора), представитель Общественного совета по НОК, либо независимый эксперт, участие которого в сборе информации согласовано с уполномоченным органом исполнительной власти (Заказчиком).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  <w:r/>
    </w:p>
  </w:footnote>
  <w:footnote w:id="3">
    <w:p>
      <w:pPr>
        <w:jc w:val="both"/>
        <w:tabs>
          <w:tab w:val="left" w:pos="1526" w:leader="none"/>
          <w:tab w:val="left" w:pos="3260" w:leader="none"/>
          <w:tab w:val="left" w:pos="4459" w:leader="none"/>
        </w:tabs>
        <w:rPr>
          <w:rFonts w:ascii="Times New Roman" w:hAnsi="Times New Roman" w:eastAsia="Times New Roman" w:cs="Times New Roman"/>
          <w:color w:val="000000"/>
        </w:rPr>
      </w:pPr>
      <w:r>
        <w:rPr>
          <w:vertAlign w:val="superscript"/>
        </w:rPr>
        <w:footnoteRef/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 Основания для установления объема информации по показателю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1.1 </w:t>
      </w:r>
      <w:r>
        <w:rPr>
          <w:rFonts w:ascii="Times New Roman" w:hAnsi="Times New Roman" w:eastAsia="Times New Roman" w:cs="Times New Roman"/>
          <w:i/>
          <w:sz w:val="20"/>
          <w:szCs w:val="20"/>
        </w:rPr>
        <w:t xml:space="preserve">(перечень нормативных</w:t>
      </w:r>
      <w:r>
        <w:rPr>
          <w:rFonts w:ascii="Times New Roman" w:hAnsi="Times New Roman" w:eastAsia="Times New Roman" w:cs="Times New Roman"/>
          <w:i/>
          <w:color w:val="000000"/>
          <w:sz w:val="20"/>
          <w:szCs w:val="20"/>
        </w:rPr>
        <w:t xml:space="preserve"> правовых актов, устанавливающих перечень информации, которая размещается на информационных ресурсах организации) 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приведены в приложении. Конкретный перечень единиц информации устанавливается уполномоченным федеральным органом исполнительной власти в соответствующей сфере с учетом специфики вдов и типов организаций, подлежащих НОК.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  <w:r/>
    </w:p>
  </w:footnote>
  <w:footnote w:id="4">
    <w:p>
      <w:pPr>
        <w:pStyle w:val="1292"/>
        <w:rPr>
          <w:rFonts w:ascii="Times New Roman" w:hAnsi="Times New Roman" w:cs="Times New Roman"/>
        </w:rPr>
      </w:pPr>
      <w:r>
        <w:rPr>
          <w:rStyle w:val="1294"/>
          <w:rFonts w:ascii="Times New Roman" w:hAnsi="Times New Roman" w:cs="Times New Roman"/>
        </w:rPr>
        <w:footnoteRef/>
      </w:r>
      <w:r>
        <w:t xml:space="preserve"> </w:t>
      </w:r>
      <w: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Оценка п</w:t>
      </w:r>
      <w:r>
        <w:rPr>
          <w:rFonts w:ascii="Times New Roman" w:hAnsi="Times New Roman" w:cs="Times New Roman"/>
          <w:sz w:val="20"/>
          <w:szCs w:val="20"/>
        </w:rPr>
        <w:t xml:space="preserve">озиций </w:t>
      </w:r>
      <w:r>
        <w:rPr>
          <w:rFonts w:ascii="Times New Roman" w:hAnsi="Times New Roman" w:cs="Times New Roman"/>
          <w:sz w:val="20"/>
          <w:szCs w:val="20"/>
        </w:rPr>
        <w:t xml:space="preserve">1-6, 24-29, 48-57, 59-61 происходит по алгоритму: 1 – информация представлена; 0 – информация не представлена.</w:t>
      </w:r>
      <w:r>
        <w:rPr>
          <w:rFonts w:ascii="Times New Roman" w:hAnsi="Times New Roman" w:cs="Times New Roman"/>
          <w:sz w:val="20"/>
          <w:szCs w:val="20"/>
        </w:rPr>
      </w:r>
      <w:r/>
    </w:p>
  </w:footnote>
  <w:footnote w:id="5"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16"/>
          <w:szCs w:val="16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vertAlign w:val="superscript"/>
        </w:rPr>
        <w:t xml:space="preserve">4  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 xml:space="preserve">Под неизбыточностью понимается конкретность и достаточность информации в соответствии с заявленным требованием. </w:t>
      </w:r>
      <w:r>
        <w:rPr>
          <w:sz w:val="16"/>
          <w:szCs w:val="16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0"/>
          <w:szCs w:val="20"/>
          <w:vertAlign w:val="baseli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highlight w:val="none"/>
          <w:vertAlign w:val="superscript"/>
        </w:rPr>
        <w:t xml:space="preserve">5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Оценка п</w:t>
      </w:r>
      <w:r>
        <w:rPr>
          <w:rFonts w:ascii="Times New Roman" w:hAnsi="Times New Roman" w:cs="Times New Roman"/>
          <w:sz w:val="16"/>
          <w:szCs w:val="16"/>
        </w:rPr>
        <w:t xml:space="preserve">озиций </w:t>
      </w:r>
      <w:r>
        <w:rPr>
          <w:rFonts w:ascii="Times New Roman" w:hAnsi="Times New Roman" w:cs="Times New Roman"/>
          <w:sz w:val="16"/>
          <w:szCs w:val="16"/>
        </w:rPr>
        <w:t xml:space="preserve">1-2, 9-11, 15  происходит по алгоритму: 1 – информация представлена; 0 – информация не представлена.</w:t>
      </w:r>
      <w:r>
        <w:rPr>
          <w:rFonts w:ascii="Times New Roman" w:hAnsi="Times New Roman" w:eastAsia="Times New Roman" w:cs="Times New Roman"/>
          <w:color w:val="000000"/>
          <w:sz w:val="16"/>
          <w:szCs w:val="16"/>
          <w:vertAlign w:val="baseline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0"/>
          <w:szCs w:val="20"/>
          <w:vertAlign w:val="superscript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vertAlign w:val="superscript"/>
        </w:rPr>
      </w:r>
      <w:r>
        <w:rPr>
          <w:vertAlign w:val="superscript"/>
        </w:rPr>
      </w:r>
      <w:r/>
    </w:p>
  </w:footnote>
  <w:footnote w:id="6"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16"/>
          <w:szCs w:val="1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Style w:val="1294"/>
        </w:rPr>
        <w:t xml:space="preserve">6</w:t>
      </w:r>
      <w:r>
        <w:t xml:space="preserve"> </w:t>
      </w:r>
      <w:r>
        <w:rPr>
          <w:color w:val="000000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 xml:space="preserve">В оценку по показателю пойдет наличие 4 дистанционных способов взаимодействия, количество баллов по данному показателю – 20*4=80 баллов</w:t>
      </w:r>
      <w:r>
        <w:rPr>
          <w:sz w:val="16"/>
          <w:szCs w:val="16"/>
        </w:rPr>
      </w:r>
      <w:r/>
    </w:p>
    <w:p>
      <w:pPr>
        <w:pStyle w:val="1292"/>
      </w:pPr>
      <w:r/>
      <w:r/>
    </w:p>
  </w:footnote>
  <w:footnote w:id="7"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vertAlign w:val="superscript"/>
        </w:rPr>
        <w:t xml:space="preserve">6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 В соответствии с требованиями СП 2.1.3678-20 "Санитарно-эпидемиоло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 для организаций соответствующей сферы. </w:t>
      </w:r>
      <w:r/>
    </w:p>
  </w:footnote>
  <w:footnote w:id="8"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  <w:r/>
    </w:p>
  </w:footnote>
  <w:footnote w:id="9">
    <w:p>
      <w:pPr>
        <w:jc w:val="both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Под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надлежащим размещением понимается размещение информации в тех местах, где она доступна инвалиду. Например, тактильные таблички с указателями выходов, поворотов, лестниц должны быть не только в одном месте на входе, но и по всему пути передвижения инвалида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.</w:t>
      </w:r>
      <w:r/>
    </w:p>
  </w:footnote>
  <w:footnote w:id="10"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В случае, если лица ограничениями по зрению и/или слуху являются целевыми получателями услуги, может быть дополнительно проведена проверка на соответствие требованиям, установленным в соответствии </w:t>
      </w:r>
      <w:r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  <w:t xml:space="preserve">с </w:t>
      </w:r>
      <w:r>
        <w:rPr>
          <w:rFonts w:ascii="Times New Roman" w:hAnsi="Times New Roman" w:eastAsia="Times New Roman" w:cs="Times New Roman"/>
          <w:smallCaps/>
          <w:color w:val="000000"/>
          <w:sz w:val="20"/>
          <w:szCs w:val="20"/>
          <w:shd w:val="clear" w:color="auto" w:fill="fefefe"/>
        </w:rPr>
        <w:t xml:space="preserve">ГОСТ Р 52872-2019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shd w:val="clear" w:color="auto" w:fill="fefefe"/>
        </w:rPr>
        <w:t xml:space="preserve"> «Инт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shd w:val="clear" w:color="auto" w:fill="fefefe"/>
        </w:rPr>
        <w:t xml:space="preserve">ернет-ресурсы и другая информация, представленная в электронно-цифровой форме. Приложения для стационарных и мобильных устройств, иные пользовательские интерфейсы. Требования доступности для людей с инвалидностью и других лиц с ограничениями жизнедеятельно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shd w:val="clear" w:color="auto" w:fill="fefefe"/>
        </w:rPr>
        <w:t xml:space="preserve">сти». Для удовлетворения потребностей различных групп пользователей в различных ситуациях стандарт определяет три уровня соответствия: A (приемлемый), AA (высокий) и AAA (наивысший). При оценке в рамках НОК допустимым может считаться соответствие уровню А.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 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3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after="0" w:line="240" w:lineRule="auto"/>
      <w:tabs>
        <w:tab w:val="center" w:pos="4677" w:leader="none"/>
        <w:tab w:val="right" w:pos="9355" w:leader="none"/>
      </w:tabs>
      <w:rPr>
        <w:color w:val="000000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>
      <w:rPr>
        <w:color w:val="000000"/>
      </w:rPr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after="0" w:line="240" w:lineRule="auto"/>
      <w:tabs>
        <w:tab w:val="center" w:pos="4677" w:leader="none"/>
        <w:tab w:val="right" w:pos="9355" w:leader="none"/>
      </w:tabs>
      <w:rPr>
        <w:color w:val="000000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>
      <w:rPr>
        <w:color w:val="00000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069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80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252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324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96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468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540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612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84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7560" w:hanging="360"/>
      </w:pPr>
      <w:rPr>
        <w:rFonts w:ascii="Noto Sans Symbols" w:hAnsi="Noto Sans Symbols" w:eastAsia="Noto Sans Symbols" w:cs="Noto Sans Symbols"/>
      </w:rPr>
    </w:lvl>
  </w:abstractNum>
  <w:abstractNum w:abstractNumId="3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114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6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8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0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2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74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6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8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05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▪"/>
      <w:lvlJc w:val="left"/>
      <w:pPr>
        <w:ind w:left="1429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</w:r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360"/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8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960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40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6480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7920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00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440" w:hanging="180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39" w:hanging="359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8" w:hanging="719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7" w:hanging="720"/>
      </w:pPr>
      <w:rPr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6" w:hanging="1079"/>
      </w:pPr>
      <w:rPr>
        <w:b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5" w:hanging="1080"/>
      </w:pPr>
      <w:rPr>
        <w:b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14" w:hanging="1440"/>
      </w:pPr>
      <w:rPr>
        <w:b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93" w:hanging="1440"/>
      </w:pPr>
      <w:rPr>
        <w:b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32" w:hanging="1800"/>
      </w:pPr>
      <w:rPr>
        <w:b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81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501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221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941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61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81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101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821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541" w:hanging="360"/>
      </w:pPr>
      <w:rPr>
        <w:rFonts w:ascii="Noto Sans Symbols" w:hAnsi="Noto Sans Symbols" w:eastAsia="Noto Sans Symbols" w:cs="Noto Sans Symbol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bullet"/>
      <w:isLgl w:val="false"/>
      <w:suff w:val="tab"/>
      <w:lvlText w:val="−"/>
      <w:lvlJc w:val="left"/>
      <w:pPr>
        <w:ind w:left="1789" w:hanging="360"/>
      </w:pPr>
      <w:rPr>
        <w:rFonts w:ascii="Noto Sans Symbols" w:hAnsi="Noto Sans Symbols" w:eastAsia="Noto Sans Symbols" w:cs="Noto Sans Symbols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429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✔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✔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2">
      <w:start w:val="1"/>
      <w:numFmt w:val="bullet"/>
      <w:isLgl w:val="false"/>
      <w:suff w:val="tab"/>
      <w:lvlText w:val="✔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✔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✔"/>
      <w:lvlJc w:val="left"/>
      <w:pPr>
        <w:ind w:left="3600" w:hanging="360"/>
      </w:pPr>
      <w:rPr>
        <w:rFonts w:ascii="Noto Sans Symbols" w:hAnsi="Noto Sans Symbols" w:eastAsia="Noto Sans Symbols" w:cs="Noto Sans Symbols"/>
      </w:rPr>
    </w:lvl>
    <w:lvl w:ilvl="5">
      <w:start w:val="1"/>
      <w:numFmt w:val="bullet"/>
      <w:isLgl w:val="false"/>
      <w:suff w:val="tab"/>
      <w:lvlText w:val="✔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✔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✔"/>
      <w:lvlJc w:val="left"/>
      <w:pPr>
        <w:ind w:left="5760" w:hanging="360"/>
      </w:pPr>
      <w:rPr>
        <w:rFonts w:ascii="Noto Sans Symbols" w:hAnsi="Noto Sans Symbols" w:eastAsia="Noto Sans Symbols" w:cs="Noto Sans Symbols"/>
      </w:rPr>
    </w:lvl>
    <w:lvl w:ilvl="8">
      <w:start w:val="1"/>
      <w:numFmt w:val="bullet"/>
      <w:isLgl w:val="false"/>
      <w:suff w:val="tab"/>
      <w:lvlText w:val="✔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color w:val="auto"/>
      </w:rPr>
    </w:lvl>
    <w:lvl w:ilvl="1">
      <w:start w:val="1"/>
      <w:numFmt w:val="bullet"/>
      <w:isLgl w:val="false"/>
      <w:suff w:val="tab"/>
      <w:lvlText w:val="−"/>
      <w:lvlJc w:val="left"/>
      <w:pPr>
        <w:ind w:left="1789" w:hanging="360"/>
      </w:pPr>
      <w:rPr>
        <w:rFonts w:ascii="Noto Sans Symbols" w:hAnsi="Noto Sans Symbols" w:eastAsia="Noto Sans Symbols" w:cs="Noto Sans Symbols"/>
      </w:r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41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2428" w:hanging="4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4055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5382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706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8396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0083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1410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3097" w:hanging="180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✔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✔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2">
      <w:start w:val="1"/>
      <w:numFmt w:val="bullet"/>
      <w:isLgl w:val="false"/>
      <w:suff w:val="tab"/>
      <w:lvlText w:val="✔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✔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✔"/>
      <w:lvlJc w:val="left"/>
      <w:pPr>
        <w:ind w:left="3600" w:hanging="360"/>
      </w:pPr>
      <w:rPr>
        <w:rFonts w:ascii="Noto Sans Symbols" w:hAnsi="Noto Sans Symbols" w:eastAsia="Noto Sans Symbols" w:cs="Noto Sans Symbols"/>
      </w:rPr>
    </w:lvl>
    <w:lvl w:ilvl="5">
      <w:start w:val="1"/>
      <w:numFmt w:val="bullet"/>
      <w:isLgl w:val="false"/>
      <w:suff w:val="tab"/>
      <w:lvlText w:val="✔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✔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✔"/>
      <w:lvlJc w:val="left"/>
      <w:pPr>
        <w:ind w:left="5760" w:hanging="360"/>
      </w:pPr>
      <w:rPr>
        <w:rFonts w:ascii="Noto Sans Symbols" w:hAnsi="Noto Sans Symbols" w:eastAsia="Noto Sans Symbols" w:cs="Noto Sans Symbols"/>
      </w:rPr>
    </w:lvl>
    <w:lvl w:ilvl="8">
      <w:start w:val="1"/>
      <w:numFmt w:val="bullet"/>
      <w:isLgl w:val="false"/>
      <w:suff w:val="tab"/>
      <w:lvlText w:val="✔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429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739" w:hanging="359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478" w:hanging="719"/>
      </w:pPr>
      <w:rPr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57" w:hanging="720"/>
      </w:pPr>
      <w:rPr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6" w:hanging="1079"/>
      </w:pPr>
      <w:rPr>
        <w:b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975" w:hanging="1080"/>
      </w:pPr>
      <w:rPr>
        <w:b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714" w:hanging="1440"/>
      </w:pPr>
      <w:rPr>
        <w:b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093" w:hanging="1440"/>
      </w:pPr>
      <w:rPr>
        <w:b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832" w:hanging="1800"/>
      </w:pPr>
      <w:rPr>
        <w:b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▪"/>
      <w:lvlJc w:val="left"/>
      <w:pPr>
        <w:ind w:left="1429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920" w:hanging="360"/>
      </w:pPr>
      <w:rPr>
        <w:b w:val="0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▪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571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✔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✔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2">
      <w:start w:val="1"/>
      <w:numFmt w:val="bullet"/>
      <w:isLgl w:val="false"/>
      <w:suff w:val="tab"/>
      <w:lvlText w:val="✔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✔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✔"/>
      <w:lvlJc w:val="left"/>
      <w:pPr>
        <w:ind w:left="3600" w:hanging="360"/>
      </w:pPr>
      <w:rPr>
        <w:rFonts w:ascii="Noto Sans Symbols" w:hAnsi="Noto Sans Symbols" w:eastAsia="Noto Sans Symbols" w:cs="Noto Sans Symbols"/>
      </w:rPr>
    </w:lvl>
    <w:lvl w:ilvl="5">
      <w:start w:val="1"/>
      <w:numFmt w:val="bullet"/>
      <w:isLgl w:val="false"/>
      <w:suff w:val="tab"/>
      <w:lvlText w:val="✔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✔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✔"/>
      <w:lvlJc w:val="left"/>
      <w:pPr>
        <w:ind w:left="5760" w:hanging="360"/>
      </w:pPr>
      <w:rPr>
        <w:rFonts w:ascii="Noto Sans Symbols" w:hAnsi="Noto Sans Symbols" w:eastAsia="Noto Sans Symbols" w:cs="Noto Sans Symbols"/>
      </w:rPr>
    </w:lvl>
    <w:lvl w:ilvl="8">
      <w:start w:val="1"/>
      <w:numFmt w:val="bullet"/>
      <w:isLgl w:val="false"/>
      <w:suff w:val="tab"/>
      <w:lvlText w:val="✔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▪"/>
      <w:lvlJc w:val="left"/>
      <w:pPr>
        <w:ind w:left="1068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788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508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228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948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668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388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108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828" w:hanging="360"/>
      </w:pPr>
      <w:rPr>
        <w:rFonts w:ascii="Noto Sans Symbols" w:hAnsi="Noto Sans Symbols" w:eastAsia="Noto Sans Symbols" w:cs="Noto Sans Symbols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b w:val="0"/>
        <w:i w:val="0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828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548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268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988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708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428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148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868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588" w:hanging="360"/>
      </w:pPr>
      <w:rPr>
        <w:rFonts w:ascii="Noto Sans Symbols" w:hAnsi="Noto Sans Symbols" w:eastAsia="Noto Sans Symbols" w:cs="Noto Sans Symbols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9" w:hanging="360"/>
      </w:pPr>
      <w:rPr>
        <w:u w:val="none"/>
      </w:rPr>
    </w:lvl>
    <w:lvl w:ilvl="1">
      <w:start w:val="1"/>
      <w:numFmt w:val="bullet"/>
      <w:isLgl w:val="false"/>
      <w:suff w:val="tab"/>
      <w:lvlText w:val="−"/>
      <w:lvlJc w:val="left"/>
      <w:pPr>
        <w:ind w:left="379" w:hanging="360"/>
      </w:pPr>
      <w:rPr>
        <w:rFonts w:ascii="Noto Sans Symbols" w:hAnsi="Noto Sans Symbols" w:eastAsia="Noto Sans Symbols" w:cs="Noto Sans Symbols"/>
      </w:rPr>
    </w:lvl>
    <w:lvl w:ilvl="2">
      <w:start w:val="1"/>
      <w:numFmt w:val="decimal"/>
      <w:isLgl w:val="false"/>
      <w:suff w:val="tab"/>
      <w:lvlText w:val="%1.−.%3."/>
      <w:lvlJc w:val="left"/>
      <w:pPr>
        <w:ind w:left="739" w:hanging="720"/>
      </w:pPr>
    </w:lvl>
    <w:lvl w:ilvl="3">
      <w:start w:val="1"/>
      <w:numFmt w:val="decimal"/>
      <w:isLgl w:val="false"/>
      <w:suff w:val="tab"/>
      <w:lvlText w:val="%1.−.%3.%4."/>
      <w:lvlJc w:val="left"/>
      <w:pPr>
        <w:ind w:left="739" w:hanging="720"/>
      </w:pPr>
    </w:lvl>
    <w:lvl w:ilvl="4">
      <w:start w:val="1"/>
      <w:numFmt w:val="decimal"/>
      <w:isLgl w:val="false"/>
      <w:suff w:val="tab"/>
      <w:lvlText w:val="%1.−.%3.%4.%5."/>
      <w:lvlJc w:val="left"/>
      <w:pPr>
        <w:ind w:left="1099" w:hanging="1080"/>
      </w:pPr>
    </w:lvl>
    <w:lvl w:ilvl="5">
      <w:start w:val="1"/>
      <w:numFmt w:val="decimal"/>
      <w:isLgl w:val="false"/>
      <w:suff w:val="tab"/>
      <w:lvlText w:val="%1.−.%3.%4.%5.%6."/>
      <w:lvlJc w:val="left"/>
      <w:pPr>
        <w:ind w:left="1099" w:hanging="1080"/>
      </w:pPr>
    </w:lvl>
    <w:lvl w:ilvl="6">
      <w:start w:val="1"/>
      <w:numFmt w:val="decimal"/>
      <w:isLgl w:val="false"/>
      <w:suff w:val="tab"/>
      <w:lvlText w:val="%1.−.%3.%4.%5.%6.%7."/>
      <w:lvlJc w:val="left"/>
      <w:pPr>
        <w:ind w:left="1459" w:hanging="1440"/>
      </w:pPr>
    </w:lvl>
    <w:lvl w:ilvl="7">
      <w:start w:val="1"/>
      <w:numFmt w:val="decimal"/>
      <w:isLgl w:val="false"/>
      <w:suff w:val="tab"/>
      <w:lvlText w:val="%1.−.%3.%4.%5.%6.%7.%8."/>
      <w:lvlJc w:val="left"/>
      <w:pPr>
        <w:ind w:left="1459" w:hanging="1440"/>
      </w:pPr>
    </w:lvl>
    <w:lvl w:ilvl="8">
      <w:start w:val="1"/>
      <w:numFmt w:val="decimal"/>
      <w:isLgl w:val="false"/>
      <w:suff w:val="tab"/>
      <w:lvlText w:val="%1.−.%3.%4.%5.%6.%7.%8.%9."/>
      <w:lvlJc w:val="left"/>
      <w:pPr>
        <w:ind w:left="1819" w:hanging="180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▪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287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727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447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887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607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7047" w:hanging="360"/>
      </w:pPr>
      <w:rPr>
        <w:rFonts w:ascii="Noto Sans Symbols" w:hAnsi="Noto Sans Symbols" w:eastAsia="Noto Sans Symbols" w:cs="Noto Sans Symbol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▪"/>
      <w:lvlJc w:val="left"/>
      <w:pPr>
        <w:ind w:left="1428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868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588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5028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748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7188" w:hanging="360"/>
      </w:pPr>
      <w:rPr>
        <w:rFonts w:ascii="Noto Sans Symbols" w:hAnsi="Noto Sans Symbols" w:eastAsia="Noto Sans Symbols" w:cs="Noto Sans Symbols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▪"/>
      <w:lvlJc w:val="left"/>
      <w:pPr>
        <w:ind w:left="1353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×"/>
      <w:lvlJc w:val="left"/>
      <w:pPr>
        <w:ind w:left="720" w:hanging="360"/>
      </w:pPr>
      <w:rPr>
        <w:rFonts w:ascii="Calibri" w:hAnsi="Calibri" w:eastAsia="Calibri" w:cs="Calibri"/>
        <w:b/>
        <w:color w:val="c00000"/>
      </w:rPr>
    </w:lvl>
    <w:lvl w:ilvl="1">
      <w:start w:val="1"/>
      <w:numFmt w:val="bullet"/>
      <w:isLgl w:val="false"/>
      <w:suff w:val="tab"/>
      <w:lvlText w:val="×"/>
      <w:lvlJc w:val="left"/>
      <w:pPr>
        <w:ind w:left="1440" w:hanging="360"/>
      </w:pPr>
      <w:rPr>
        <w:rFonts w:ascii="Calibri" w:hAnsi="Calibri" w:eastAsia="Calibri" w:cs="Calibri"/>
      </w:rPr>
    </w:lvl>
    <w:lvl w:ilvl="2">
      <w:start w:val="1"/>
      <w:numFmt w:val="bullet"/>
      <w:isLgl w:val="false"/>
      <w:suff w:val="tab"/>
      <w:lvlText w:val="×"/>
      <w:lvlJc w:val="left"/>
      <w:pPr>
        <w:ind w:left="2160" w:hanging="360"/>
      </w:pPr>
      <w:rPr>
        <w:rFonts w:ascii="Calibri" w:hAnsi="Calibri" w:eastAsia="Calibri" w:cs="Calibri"/>
      </w:rPr>
    </w:lvl>
    <w:lvl w:ilvl="3">
      <w:start w:val="1"/>
      <w:numFmt w:val="bullet"/>
      <w:isLgl w:val="false"/>
      <w:suff w:val="tab"/>
      <w:lvlText w:val="×"/>
      <w:lvlJc w:val="left"/>
      <w:pPr>
        <w:ind w:left="2880" w:hanging="360"/>
      </w:pPr>
      <w:rPr>
        <w:rFonts w:ascii="Calibri" w:hAnsi="Calibri" w:eastAsia="Calibri" w:cs="Calibri"/>
      </w:rPr>
    </w:lvl>
    <w:lvl w:ilvl="4">
      <w:start w:val="1"/>
      <w:numFmt w:val="bullet"/>
      <w:isLgl w:val="false"/>
      <w:suff w:val="tab"/>
      <w:lvlText w:val="×"/>
      <w:lvlJc w:val="left"/>
      <w:pPr>
        <w:ind w:left="3600" w:hanging="360"/>
      </w:pPr>
      <w:rPr>
        <w:rFonts w:ascii="Calibri" w:hAnsi="Calibri" w:eastAsia="Calibri" w:cs="Calibri"/>
      </w:rPr>
    </w:lvl>
    <w:lvl w:ilvl="5">
      <w:start w:val="1"/>
      <w:numFmt w:val="bullet"/>
      <w:isLgl w:val="false"/>
      <w:suff w:val="tab"/>
      <w:lvlText w:val="×"/>
      <w:lvlJc w:val="left"/>
      <w:pPr>
        <w:ind w:left="4320" w:hanging="360"/>
      </w:pPr>
      <w:rPr>
        <w:rFonts w:ascii="Calibri" w:hAnsi="Calibri" w:eastAsia="Calibri" w:cs="Calibri"/>
      </w:rPr>
    </w:lvl>
    <w:lvl w:ilvl="6">
      <w:start w:val="1"/>
      <w:numFmt w:val="bullet"/>
      <w:isLgl w:val="false"/>
      <w:suff w:val="tab"/>
      <w:lvlText w:val="×"/>
      <w:lvlJc w:val="left"/>
      <w:pPr>
        <w:ind w:left="5040" w:hanging="360"/>
      </w:pPr>
      <w:rPr>
        <w:rFonts w:ascii="Calibri" w:hAnsi="Calibri" w:eastAsia="Calibri" w:cs="Calibri"/>
      </w:rPr>
    </w:lvl>
    <w:lvl w:ilvl="7">
      <w:start w:val="1"/>
      <w:numFmt w:val="bullet"/>
      <w:isLgl w:val="false"/>
      <w:suff w:val="tab"/>
      <w:lvlText w:val="×"/>
      <w:lvlJc w:val="left"/>
      <w:pPr>
        <w:ind w:left="5760" w:hanging="360"/>
      </w:pPr>
      <w:rPr>
        <w:rFonts w:ascii="Calibri" w:hAnsi="Calibri" w:eastAsia="Calibri" w:cs="Calibri"/>
      </w:rPr>
    </w:lvl>
    <w:lvl w:ilvl="8">
      <w:start w:val="1"/>
      <w:numFmt w:val="bullet"/>
      <w:isLgl w:val="false"/>
      <w:suff w:val="tab"/>
      <w:lvlText w:val="×"/>
      <w:lvlJc w:val="left"/>
      <w:pPr>
        <w:ind w:left="6480" w:hanging="360"/>
      </w:pPr>
      <w:rPr>
        <w:rFonts w:ascii="Calibri" w:hAnsi="Calibri" w:eastAsia="Calibri" w:cs="Calibri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4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73" w:hanging="360"/>
      </w:pPr>
      <w:rPr>
        <w:b/>
      </w:rPr>
    </w:lvl>
    <w:lvl w:ilvl="1">
      <w:start w:val="1"/>
      <w:numFmt w:val="decimal"/>
      <w:isLgl w:val="false"/>
      <w:suff w:val="tab"/>
      <w:lvlText w:val="%1.%2."/>
      <w:lvlJc w:val="left"/>
      <w:pPr>
        <w:ind w:left="2122" w:hanging="4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3487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4814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6501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7828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9515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842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529" w:hanging="1800"/>
      </w:p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429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−"/>
      <w:lvlJc w:val="left"/>
      <w:pPr>
        <w:ind w:left="2149" w:hanging="360"/>
      </w:pPr>
      <w:rPr>
        <w:rFonts w:ascii="Noto Sans Symbols" w:hAnsi="Noto Sans Symbols" w:eastAsia="Noto Sans Symbols" w:cs="Noto Sans Symbols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✔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✔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2">
      <w:start w:val="1"/>
      <w:numFmt w:val="bullet"/>
      <w:isLgl w:val="false"/>
      <w:suff w:val="tab"/>
      <w:lvlText w:val="✔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✔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✔"/>
      <w:lvlJc w:val="left"/>
      <w:pPr>
        <w:ind w:left="3600" w:hanging="360"/>
      </w:pPr>
      <w:rPr>
        <w:rFonts w:ascii="Noto Sans Symbols" w:hAnsi="Noto Sans Symbols" w:eastAsia="Noto Sans Symbols" w:cs="Noto Sans Symbols"/>
      </w:rPr>
    </w:lvl>
    <w:lvl w:ilvl="5">
      <w:start w:val="1"/>
      <w:numFmt w:val="bullet"/>
      <w:isLgl w:val="false"/>
      <w:suff w:val="tab"/>
      <w:lvlText w:val="✔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✔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✔"/>
      <w:lvlJc w:val="left"/>
      <w:pPr>
        <w:ind w:left="5760" w:hanging="360"/>
      </w:pPr>
      <w:rPr>
        <w:rFonts w:ascii="Noto Sans Symbols" w:hAnsi="Noto Sans Symbols" w:eastAsia="Noto Sans Symbols" w:cs="Noto Sans Symbols"/>
      </w:rPr>
    </w:lvl>
    <w:lvl w:ilvl="8">
      <w:start w:val="1"/>
      <w:numFmt w:val="bullet"/>
      <w:isLgl w:val="false"/>
      <w:suff w:val="tab"/>
      <w:lvlText w:val="✔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▪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459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2179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899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619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4339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5059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779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499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7219" w:hanging="360"/>
      </w:pPr>
      <w:rPr>
        <w:rFonts w:ascii="Noto Sans Symbols" w:hAnsi="Noto Sans Symbols" w:eastAsia="Noto Sans Symbols" w:cs="Noto Sans Symbol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▪"/>
      <w:lvlJc w:val="left"/>
      <w:pPr>
        <w:ind w:left="1429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</w:r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­"/>
      <w:lvlJc w:val="left"/>
      <w:pPr>
        <w:ind w:left="360" w:hanging="360"/>
      </w:pPr>
      <w:rPr>
        <w:rFonts w:ascii="Courier New" w:hAnsi="Courier New" w:eastAsia="Courier New" w:cs="Courier New"/>
      </w:rPr>
    </w:lvl>
    <w:lvl w:ilvl="1">
      <w:start w:val="1"/>
      <w:numFmt w:val="bullet"/>
      <w:isLgl w:val="false"/>
      <w:suff w:val="tab"/>
      <w:lvlText w:val="­"/>
      <w:lvlJc w:val="left"/>
      <w:pPr>
        <w:ind w:left="108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180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52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396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468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120" w:hanging="360"/>
      </w:pPr>
      <w:rPr>
        <w:rFonts w:ascii="Noto Sans Symbols" w:hAnsi="Noto Sans Symbols" w:eastAsia="Noto Sans Symbols" w:cs="Noto Sans Symbols"/>
      </w:r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7">
    <w:multiLevelType w:val="hybridMultilevel"/>
    <w:lvl w:ilvl="0">
      <w:start w:val="1"/>
      <w:numFmt w:val="upperRoman"/>
      <w:isLgl w:val="false"/>
      <w:suff w:val="tab"/>
      <w:lvlText w:val="%1."/>
      <w:lvlJc w:val="right"/>
      <w:pPr>
        <w:ind w:left="720" w:hanging="360"/>
      </w:pPr>
    </w:lvl>
    <w:lvl w:ilvl="1">
      <w:start w:val="1"/>
      <w:numFmt w:val="bullet"/>
      <w:isLgl w:val="false"/>
      <w:suff w:val="tab"/>
      <w:lvlText w:val="−"/>
      <w:lvlJc w:val="left"/>
      <w:pPr>
        <w:ind w:left="8866" w:hanging="360"/>
      </w:pPr>
      <w:rPr>
        <w:rFonts w:ascii="Noto Sans Symbols" w:hAnsi="Noto Sans Symbols" w:eastAsia="Noto Sans Symbols" w:cs="Noto Sans Symbols"/>
        <w:color w:val="000000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1429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</w:rPr>
    </w:lvl>
  </w:abstractNum>
  <w:abstractNum w:abstractNumId="5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11" w:hanging="360"/>
      </w:pPr>
      <w:rPr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9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1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3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5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7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9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1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39" w:hanging="180"/>
      </w:p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bullet"/>
      <w:isLgl w:val="false"/>
      <w:suff w:val="tab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2">
      <w:start w:val="1"/>
      <w:numFmt w:val="bullet"/>
      <w:isLgl w:val="false"/>
      <w:suff w:val="tab"/>
      <w:lvlText w:val="●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>
      <w:start w:val="1"/>
      <w:numFmt w:val="bullet"/>
      <w:isLgl w:val="false"/>
      <w:suff w:val="tab"/>
      <w:lvlText w:val="●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>
      <w:start w:val="1"/>
      <w:numFmt w:val="bullet"/>
      <w:isLgl w:val="false"/>
      <w:suff w:val="tab"/>
      <w:lvlText w:val="●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>
      <w:start w:val="1"/>
      <w:numFmt w:val="bullet"/>
      <w:isLgl w:val="false"/>
      <w:suff w:val="tab"/>
      <w:lvlText w:val="●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>
      <w:start w:val="1"/>
      <w:numFmt w:val="bullet"/>
      <w:isLgl w:val="false"/>
      <w:suff w:val="tab"/>
      <w:lvlText w:val="●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▪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color w:val="0070c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▪"/>
      <w:lvlJc w:val="left"/>
      <w:pPr>
        <w:ind w:left="1429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6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9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1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3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5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7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9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1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39" w:hanging="180"/>
      </w:p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✔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isLgl w:val="false"/>
      <w:suff w:val="tab"/>
      <w:lvlText w:val="✔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2">
      <w:start w:val="1"/>
      <w:numFmt w:val="bullet"/>
      <w:isLgl w:val="false"/>
      <w:suff w:val="tab"/>
      <w:lvlText w:val="✔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✔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✔"/>
      <w:lvlJc w:val="left"/>
      <w:pPr>
        <w:ind w:left="3600" w:hanging="360"/>
      </w:pPr>
      <w:rPr>
        <w:rFonts w:ascii="Noto Sans Symbols" w:hAnsi="Noto Sans Symbols" w:eastAsia="Noto Sans Symbols" w:cs="Noto Sans Symbols"/>
      </w:rPr>
    </w:lvl>
    <w:lvl w:ilvl="5">
      <w:start w:val="1"/>
      <w:numFmt w:val="bullet"/>
      <w:isLgl w:val="false"/>
      <w:suff w:val="tab"/>
      <w:lvlText w:val="✔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✔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✔"/>
      <w:lvlJc w:val="left"/>
      <w:pPr>
        <w:ind w:left="5760" w:hanging="360"/>
      </w:pPr>
      <w:rPr>
        <w:rFonts w:ascii="Noto Sans Symbols" w:hAnsi="Noto Sans Symbols" w:eastAsia="Noto Sans Symbols" w:cs="Noto Sans Symbols"/>
      </w:rPr>
    </w:lvl>
    <w:lvl w:ilvl="8">
      <w:start w:val="1"/>
      <w:numFmt w:val="bullet"/>
      <w:isLgl w:val="false"/>
      <w:suff w:val="tab"/>
      <w:lvlText w:val="✔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7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353" w:hanging="360"/>
      </w:pPr>
      <w:rPr>
        <w:i w:val="0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59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79" w:hanging="360"/>
      </w:pPr>
      <w:rPr>
        <w:b/>
        <w:u w:val="none"/>
      </w:rPr>
    </w:lvl>
    <w:lvl w:ilvl="1">
      <w:start w:val="1"/>
      <w:numFmt w:val="decimal"/>
      <w:isLgl w:val="false"/>
      <w:suff w:val="tab"/>
      <w:lvlText w:val="%1.%2."/>
      <w:lvlJc w:val="left"/>
      <w:pPr>
        <w:ind w:left="379" w:hanging="36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39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739" w:hanging="72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99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099" w:hanging="108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459" w:hanging="144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59" w:hanging="144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19" w:hanging="1800"/>
      </w:p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74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75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76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77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78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79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0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1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2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3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4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5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6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7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8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9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90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91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92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93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94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95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9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7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98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99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00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01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02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03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04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05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06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07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08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09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10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11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12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13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14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15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16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17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18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19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20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21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22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>
    <w:abstractNumId w:val="5"/>
  </w:num>
  <w:num w:numId="2">
    <w:abstractNumId w:val="15"/>
  </w:num>
  <w:num w:numId="3">
    <w:abstractNumId w:val="54"/>
  </w:num>
  <w:num w:numId="4">
    <w:abstractNumId w:val="35"/>
  </w:num>
  <w:num w:numId="5">
    <w:abstractNumId w:val="16"/>
  </w:num>
  <w:num w:numId="6">
    <w:abstractNumId w:val="70"/>
  </w:num>
  <w:num w:numId="7">
    <w:abstractNumId w:val="6"/>
  </w:num>
  <w:num w:numId="8">
    <w:abstractNumId w:val="38"/>
  </w:num>
  <w:num w:numId="9">
    <w:abstractNumId w:val="44"/>
  </w:num>
  <w:num w:numId="10">
    <w:abstractNumId w:val="59"/>
  </w:num>
  <w:num w:numId="11">
    <w:abstractNumId w:val="25"/>
  </w:num>
  <w:num w:numId="12">
    <w:abstractNumId w:val="28"/>
  </w:num>
  <w:num w:numId="13">
    <w:abstractNumId w:val="22"/>
  </w:num>
  <w:num w:numId="14">
    <w:abstractNumId w:val="57"/>
  </w:num>
  <w:num w:numId="15">
    <w:abstractNumId w:val="33"/>
  </w:num>
  <w:num w:numId="16">
    <w:abstractNumId w:val="21"/>
  </w:num>
  <w:num w:numId="17">
    <w:abstractNumId w:val="49"/>
  </w:num>
  <w:num w:numId="18">
    <w:abstractNumId w:val="60"/>
  </w:num>
  <w:num w:numId="19">
    <w:abstractNumId w:val="2"/>
  </w:num>
  <w:num w:numId="20">
    <w:abstractNumId w:val="55"/>
  </w:num>
  <w:num w:numId="21">
    <w:abstractNumId w:val="53"/>
  </w:num>
  <w:num w:numId="22">
    <w:abstractNumId w:val="58"/>
  </w:num>
  <w:num w:numId="23">
    <w:abstractNumId w:val="39"/>
  </w:num>
  <w:num w:numId="24">
    <w:abstractNumId w:val="47"/>
  </w:num>
  <w:num w:numId="25">
    <w:abstractNumId w:val="8"/>
  </w:num>
  <w:num w:numId="26">
    <w:abstractNumId w:val="65"/>
  </w:num>
  <w:num w:numId="27">
    <w:abstractNumId w:val="27"/>
  </w:num>
  <w:num w:numId="28">
    <w:abstractNumId w:val="72"/>
  </w:num>
  <w:num w:numId="29">
    <w:abstractNumId w:val="45"/>
  </w:num>
  <w:num w:numId="30">
    <w:abstractNumId w:val="32"/>
  </w:num>
  <w:num w:numId="31">
    <w:abstractNumId w:val="50"/>
  </w:num>
  <w:num w:numId="32">
    <w:abstractNumId w:val="51"/>
  </w:num>
  <w:num w:numId="33">
    <w:abstractNumId w:val="34"/>
  </w:num>
  <w:num w:numId="34">
    <w:abstractNumId w:val="7"/>
  </w:num>
  <w:num w:numId="35">
    <w:abstractNumId w:val="41"/>
  </w:num>
  <w:num w:numId="36">
    <w:abstractNumId w:val="31"/>
  </w:num>
  <w:num w:numId="37">
    <w:abstractNumId w:val="9"/>
  </w:num>
  <w:num w:numId="38">
    <w:abstractNumId w:val="67"/>
  </w:num>
  <w:num w:numId="39">
    <w:abstractNumId w:val="19"/>
  </w:num>
  <w:num w:numId="40">
    <w:abstractNumId w:val="11"/>
  </w:num>
  <w:num w:numId="41">
    <w:abstractNumId w:val="4"/>
  </w:num>
  <w:num w:numId="42">
    <w:abstractNumId w:val="43"/>
  </w:num>
  <w:num w:numId="43">
    <w:abstractNumId w:val="36"/>
  </w:num>
  <w:num w:numId="44">
    <w:abstractNumId w:val="69"/>
  </w:num>
  <w:num w:numId="45">
    <w:abstractNumId w:val="68"/>
  </w:num>
  <w:num w:numId="46">
    <w:abstractNumId w:val="30"/>
  </w:num>
  <w:num w:numId="47">
    <w:abstractNumId w:val="37"/>
  </w:num>
  <w:num w:numId="48">
    <w:abstractNumId w:val="29"/>
  </w:num>
  <w:num w:numId="49">
    <w:abstractNumId w:val="17"/>
  </w:num>
  <w:num w:numId="50">
    <w:abstractNumId w:val="10"/>
  </w:num>
  <w:num w:numId="51">
    <w:abstractNumId w:val="66"/>
  </w:num>
  <w:num w:numId="52">
    <w:abstractNumId w:val="64"/>
  </w:num>
  <w:num w:numId="53">
    <w:abstractNumId w:val="13"/>
  </w:num>
  <w:num w:numId="54">
    <w:abstractNumId w:val="40"/>
  </w:num>
  <w:num w:numId="55">
    <w:abstractNumId w:val="61"/>
  </w:num>
  <w:num w:numId="56">
    <w:abstractNumId w:val="48"/>
  </w:num>
  <w:num w:numId="57">
    <w:abstractNumId w:val="26"/>
  </w:num>
  <w:num w:numId="58">
    <w:abstractNumId w:val="46"/>
  </w:num>
  <w:num w:numId="59">
    <w:abstractNumId w:val="14"/>
  </w:num>
  <w:num w:numId="60">
    <w:abstractNumId w:val="18"/>
  </w:num>
  <w:num w:numId="61">
    <w:abstractNumId w:val="62"/>
  </w:num>
  <w:num w:numId="62">
    <w:abstractNumId w:val="71"/>
  </w:num>
  <w:num w:numId="63">
    <w:abstractNumId w:val="1"/>
  </w:num>
  <w:num w:numId="64">
    <w:abstractNumId w:val="23"/>
  </w:num>
  <w:num w:numId="65">
    <w:abstractNumId w:val="12"/>
  </w:num>
  <w:num w:numId="66">
    <w:abstractNumId w:val="63"/>
  </w:num>
  <w:num w:numId="67">
    <w:abstractNumId w:val="24"/>
  </w:num>
  <w:num w:numId="68">
    <w:abstractNumId w:val="52"/>
  </w:num>
  <w:num w:numId="69">
    <w:abstractNumId w:val="0"/>
  </w:num>
  <w:num w:numId="70">
    <w:abstractNumId w:val="42"/>
  </w:num>
  <w:num w:numId="71">
    <w:abstractNumId w:val="56"/>
  </w:num>
  <w:num w:numId="72">
    <w:abstractNumId w:val="3"/>
  </w:num>
  <w:num w:numId="73">
    <w:abstractNumId w:val="20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  <w:num w:numId="98">
    <w:abstractNumId w:val="97"/>
  </w:num>
  <w:num w:numId="99">
    <w:abstractNumId w:val="98"/>
  </w:num>
  <w:num w:numId="100">
    <w:abstractNumId w:val="99"/>
  </w:num>
  <w:num w:numId="101">
    <w:abstractNumId w:val="100"/>
  </w:num>
  <w:num w:numId="102">
    <w:abstractNumId w:val="101"/>
  </w:num>
  <w:num w:numId="103">
    <w:abstractNumId w:val="102"/>
  </w:num>
  <w:num w:numId="104">
    <w:abstractNumId w:val="103"/>
  </w:num>
  <w:num w:numId="105">
    <w:abstractNumId w:val="104"/>
  </w:num>
  <w:num w:numId="106">
    <w:abstractNumId w:val="105"/>
  </w:num>
  <w:num w:numId="107">
    <w:abstractNumId w:val="106"/>
  </w:num>
  <w:num w:numId="108">
    <w:abstractNumId w:val="107"/>
  </w:num>
  <w:num w:numId="109">
    <w:abstractNumId w:val="108"/>
  </w:num>
  <w:num w:numId="110">
    <w:abstractNumId w:val="109"/>
  </w:num>
  <w:num w:numId="111">
    <w:abstractNumId w:val="110"/>
  </w:num>
  <w:num w:numId="112">
    <w:abstractNumId w:val="111"/>
  </w:num>
  <w:num w:numId="113">
    <w:abstractNumId w:val="112"/>
  </w:num>
  <w:num w:numId="114">
    <w:abstractNumId w:val="113"/>
  </w:num>
  <w:num w:numId="115">
    <w:abstractNumId w:val="114"/>
  </w:num>
  <w:num w:numId="116">
    <w:abstractNumId w:val="115"/>
  </w:num>
  <w:num w:numId="117">
    <w:abstractNumId w:val="116"/>
  </w:num>
  <w:num w:numId="118">
    <w:abstractNumId w:val="117"/>
  </w:num>
  <w:num w:numId="119">
    <w:abstractNumId w:val="118"/>
  </w:num>
  <w:num w:numId="120">
    <w:abstractNumId w:val="119"/>
  </w:num>
  <w:num w:numId="121">
    <w:abstractNumId w:val="120"/>
  </w:num>
  <w:num w:numId="122">
    <w:abstractNumId w:val="121"/>
  </w:num>
  <w:num w:numId="123">
    <w:abstractNumId w:val="1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ru-RU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084">
    <w:name w:val="Heading 2"/>
    <w:basedOn w:val="1112"/>
    <w:next w:val="1112"/>
    <w:link w:val="111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1085">
    <w:name w:val="Heading 3"/>
    <w:basedOn w:val="1112"/>
    <w:next w:val="1112"/>
    <w:link w:val="111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086">
    <w:name w:val="Heading 4"/>
    <w:basedOn w:val="1112"/>
    <w:next w:val="1112"/>
    <w:link w:val="11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1087">
    <w:name w:val="Heading 5"/>
    <w:basedOn w:val="1112"/>
    <w:next w:val="1112"/>
    <w:link w:val="11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1088">
    <w:name w:val="Heading 6"/>
    <w:basedOn w:val="1112"/>
    <w:next w:val="1112"/>
    <w:link w:val="11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1089">
    <w:name w:val="Heading 7"/>
    <w:basedOn w:val="1112"/>
    <w:next w:val="1112"/>
    <w:link w:val="112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1090">
    <w:name w:val="Heading 8"/>
    <w:basedOn w:val="1112"/>
    <w:next w:val="1112"/>
    <w:link w:val="112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91">
    <w:name w:val="Heading 9"/>
    <w:basedOn w:val="1112"/>
    <w:next w:val="1112"/>
    <w:link w:val="112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1092">
    <w:name w:val="Caption"/>
    <w:basedOn w:val="1112"/>
    <w:next w:val="11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1093">
    <w:name w:val="Plain Table 1"/>
    <w:basedOn w:val="11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94">
    <w:name w:val="Plain Table 2"/>
    <w:basedOn w:val="111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095">
    <w:name w:val="Plain Table 3"/>
    <w:basedOn w:val="11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096">
    <w:name w:val="Plain Table 4"/>
    <w:basedOn w:val="11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7">
    <w:name w:val="Plain Table 5"/>
    <w:basedOn w:val="11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098">
    <w:name w:val="Grid Table 1 Light"/>
    <w:basedOn w:val="11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99">
    <w:name w:val="Grid Table 2"/>
    <w:basedOn w:val="11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0">
    <w:name w:val="Grid Table 3"/>
    <w:basedOn w:val="11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1">
    <w:name w:val="Grid Table 4"/>
    <w:basedOn w:val="11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102">
    <w:name w:val="Grid Table 5 Dark"/>
    <w:basedOn w:val="11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1103">
    <w:name w:val="Grid Table 6 Colorful"/>
    <w:basedOn w:val="11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1104">
    <w:name w:val="Grid Table 7 Colorful"/>
    <w:basedOn w:val="11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5">
    <w:name w:val="List Table 1 Light"/>
    <w:basedOn w:val="11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6">
    <w:name w:val="List Table 2"/>
    <w:basedOn w:val="11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07">
    <w:name w:val="List Table 3"/>
    <w:basedOn w:val="11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8">
    <w:name w:val="List Table 4"/>
    <w:basedOn w:val="11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09">
    <w:name w:val="List Table 5 Dark"/>
    <w:basedOn w:val="11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110">
    <w:name w:val="List Table 6 Colorful"/>
    <w:basedOn w:val="11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111">
    <w:name w:val="List Table 7 Colorful"/>
    <w:basedOn w:val="11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1112" w:default="1">
    <w:name w:val="Normal"/>
  </w:style>
  <w:style w:type="paragraph" w:styleId="1113">
    <w:name w:val="Heading 1"/>
    <w:basedOn w:val="1112"/>
    <w:next w:val="1112"/>
    <w:link w:val="1336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1114" w:default="1">
    <w:name w:val="Default Paragraph Font"/>
    <w:uiPriority w:val="1"/>
    <w:semiHidden/>
    <w:unhideWhenUsed/>
  </w:style>
  <w:style w:type="table" w:styleId="11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16" w:default="1">
    <w:name w:val="No List"/>
    <w:uiPriority w:val="99"/>
    <w:semiHidden/>
    <w:unhideWhenUsed/>
  </w:style>
  <w:style w:type="character" w:styleId="1117" w:customStyle="1">
    <w:name w:val="Heading 1 Char"/>
    <w:basedOn w:val="1114"/>
    <w:uiPriority w:val="9"/>
    <w:rPr>
      <w:rFonts w:ascii="Arial" w:hAnsi="Arial" w:eastAsia="Arial" w:cs="Arial"/>
      <w:sz w:val="40"/>
      <w:szCs w:val="40"/>
    </w:rPr>
  </w:style>
  <w:style w:type="character" w:styleId="1118" w:customStyle="1">
    <w:name w:val="Heading 2 Char"/>
    <w:basedOn w:val="1114"/>
    <w:uiPriority w:val="9"/>
    <w:rPr>
      <w:rFonts w:ascii="Arial" w:hAnsi="Arial" w:eastAsia="Arial" w:cs="Arial"/>
      <w:sz w:val="34"/>
    </w:rPr>
  </w:style>
  <w:style w:type="character" w:styleId="1119" w:customStyle="1">
    <w:name w:val="Heading 3 Char"/>
    <w:basedOn w:val="1114"/>
    <w:uiPriority w:val="9"/>
    <w:rPr>
      <w:rFonts w:ascii="Arial" w:hAnsi="Arial" w:eastAsia="Arial" w:cs="Arial"/>
      <w:sz w:val="30"/>
      <w:szCs w:val="30"/>
    </w:rPr>
  </w:style>
  <w:style w:type="character" w:styleId="1120" w:customStyle="1">
    <w:name w:val="Heading 4 Char"/>
    <w:basedOn w:val="1114"/>
    <w:uiPriority w:val="9"/>
    <w:rPr>
      <w:rFonts w:ascii="Arial" w:hAnsi="Arial" w:eastAsia="Arial" w:cs="Arial"/>
      <w:b/>
      <w:bCs/>
      <w:sz w:val="26"/>
      <w:szCs w:val="26"/>
    </w:rPr>
  </w:style>
  <w:style w:type="character" w:styleId="1121" w:customStyle="1">
    <w:name w:val="Heading 5 Char"/>
    <w:basedOn w:val="1114"/>
    <w:uiPriority w:val="9"/>
    <w:rPr>
      <w:rFonts w:ascii="Arial" w:hAnsi="Arial" w:eastAsia="Arial" w:cs="Arial"/>
      <w:b/>
      <w:bCs/>
      <w:sz w:val="24"/>
      <w:szCs w:val="24"/>
    </w:rPr>
  </w:style>
  <w:style w:type="character" w:styleId="1122" w:customStyle="1">
    <w:name w:val="Heading 6 Char"/>
    <w:basedOn w:val="1114"/>
    <w:uiPriority w:val="9"/>
    <w:rPr>
      <w:rFonts w:ascii="Arial" w:hAnsi="Arial" w:eastAsia="Arial" w:cs="Arial"/>
      <w:b/>
      <w:bCs/>
      <w:sz w:val="22"/>
      <w:szCs w:val="22"/>
    </w:rPr>
  </w:style>
  <w:style w:type="character" w:styleId="1123" w:customStyle="1">
    <w:name w:val="Heading 7 Char"/>
    <w:basedOn w:val="11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124" w:customStyle="1">
    <w:name w:val="Heading 8 Char"/>
    <w:basedOn w:val="1114"/>
    <w:uiPriority w:val="9"/>
    <w:rPr>
      <w:rFonts w:ascii="Arial" w:hAnsi="Arial" w:eastAsia="Arial" w:cs="Arial"/>
      <w:i/>
      <w:iCs/>
      <w:sz w:val="22"/>
      <w:szCs w:val="22"/>
    </w:rPr>
  </w:style>
  <w:style w:type="character" w:styleId="1125" w:customStyle="1">
    <w:name w:val="Heading 9 Char"/>
    <w:basedOn w:val="1114"/>
    <w:uiPriority w:val="9"/>
    <w:rPr>
      <w:rFonts w:ascii="Arial" w:hAnsi="Arial" w:eastAsia="Arial" w:cs="Arial"/>
      <w:i/>
      <w:iCs/>
      <w:sz w:val="21"/>
      <w:szCs w:val="21"/>
    </w:rPr>
  </w:style>
  <w:style w:type="character" w:styleId="1126" w:customStyle="1">
    <w:name w:val="Title Char"/>
    <w:basedOn w:val="1114"/>
    <w:uiPriority w:val="10"/>
    <w:rPr>
      <w:sz w:val="48"/>
      <w:szCs w:val="48"/>
    </w:rPr>
  </w:style>
  <w:style w:type="character" w:styleId="1127" w:customStyle="1">
    <w:name w:val="Subtitle Char"/>
    <w:basedOn w:val="1114"/>
    <w:uiPriority w:val="11"/>
    <w:rPr>
      <w:sz w:val="24"/>
      <w:szCs w:val="24"/>
    </w:rPr>
  </w:style>
  <w:style w:type="character" w:styleId="1128" w:customStyle="1">
    <w:name w:val="Quote Char"/>
    <w:uiPriority w:val="29"/>
    <w:rPr>
      <w:i/>
    </w:rPr>
  </w:style>
  <w:style w:type="character" w:styleId="1129" w:customStyle="1">
    <w:name w:val="Intense Quote Char"/>
    <w:uiPriority w:val="30"/>
    <w:rPr>
      <w:i/>
    </w:rPr>
  </w:style>
  <w:style w:type="character" w:styleId="1130" w:customStyle="1">
    <w:name w:val="Header Char"/>
    <w:basedOn w:val="1114"/>
    <w:uiPriority w:val="99"/>
  </w:style>
  <w:style w:type="character" w:styleId="1131" w:customStyle="1">
    <w:name w:val="Caption Char"/>
    <w:uiPriority w:val="99"/>
  </w:style>
  <w:style w:type="character" w:styleId="1132" w:customStyle="1">
    <w:name w:val="Footnote Text Char"/>
    <w:uiPriority w:val="99"/>
    <w:rPr>
      <w:sz w:val="18"/>
    </w:rPr>
  </w:style>
  <w:style w:type="character" w:styleId="1133" w:customStyle="1">
    <w:name w:val="Endnote Text Char"/>
    <w:uiPriority w:val="99"/>
    <w:rPr>
      <w:sz w:val="20"/>
    </w:rPr>
  </w:style>
  <w:style w:type="paragraph" w:styleId="1134" w:customStyle="1">
    <w:name w:val="Заголовок 11"/>
    <w:basedOn w:val="1112"/>
    <w:next w:val="1112"/>
    <w:link w:val="1143"/>
    <w:pPr>
      <w:spacing w:line="240" w:lineRule="auto"/>
      <w:outlineLvl w:val="0"/>
    </w:pPr>
    <w:rPr>
      <w:rFonts w:ascii="Times New Roman" w:hAnsi="Times New Roman" w:eastAsia="Times New Roman" w:cs="Times New Roman"/>
      <w:b/>
      <w:sz w:val="48"/>
      <w:szCs w:val="48"/>
    </w:rPr>
  </w:style>
  <w:style w:type="paragraph" w:styleId="1135" w:customStyle="1">
    <w:name w:val="Заголовок 21"/>
    <w:basedOn w:val="1112"/>
    <w:next w:val="1112"/>
    <w:link w:val="1144"/>
    <w:pPr>
      <w:keepLines/>
      <w:keepNext/>
      <w:spacing w:before="40" w:after="0" w:line="276" w:lineRule="auto"/>
      <w:outlineLvl w:val="1"/>
    </w:pPr>
    <w:rPr>
      <w:color w:val="2f5496"/>
      <w:sz w:val="26"/>
      <w:szCs w:val="26"/>
    </w:rPr>
  </w:style>
  <w:style w:type="paragraph" w:styleId="1136" w:customStyle="1">
    <w:name w:val="Заголовок 31"/>
    <w:basedOn w:val="1112"/>
    <w:next w:val="1112"/>
    <w:link w:val="1145"/>
    <w:pPr>
      <w:keepLines/>
      <w:keepNext/>
      <w:spacing w:before="40" w:after="0" w:line="240" w:lineRule="auto"/>
      <w:outlineLvl w:val="2"/>
    </w:pPr>
    <w:rPr>
      <w:color w:val="1f3863"/>
      <w:sz w:val="24"/>
      <w:szCs w:val="24"/>
    </w:rPr>
  </w:style>
  <w:style w:type="paragraph" w:styleId="1137" w:customStyle="1">
    <w:name w:val="Заголовок 41"/>
    <w:basedOn w:val="1112"/>
    <w:next w:val="1112"/>
    <w:link w:val="1146"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1138" w:customStyle="1">
    <w:name w:val="Заголовок 51"/>
    <w:basedOn w:val="1112"/>
    <w:next w:val="1112"/>
    <w:link w:val="1147"/>
    <w:pPr>
      <w:keepLines/>
      <w:keepNext/>
      <w:spacing w:before="220" w:after="40"/>
      <w:outlineLvl w:val="4"/>
    </w:pPr>
    <w:rPr>
      <w:b/>
    </w:rPr>
  </w:style>
  <w:style w:type="paragraph" w:styleId="1139" w:customStyle="1">
    <w:name w:val="Заголовок 61"/>
    <w:basedOn w:val="1112"/>
    <w:next w:val="1112"/>
    <w:link w:val="1148"/>
    <w:pPr>
      <w:keepLines/>
      <w:keepNext/>
      <w:spacing w:before="200" w:after="40"/>
      <w:outlineLvl w:val="5"/>
    </w:pPr>
    <w:rPr>
      <w:b/>
      <w:sz w:val="20"/>
      <w:szCs w:val="20"/>
    </w:rPr>
  </w:style>
  <w:style w:type="paragraph" w:styleId="1140" w:customStyle="1">
    <w:name w:val="Заголовок 71"/>
    <w:basedOn w:val="1112"/>
    <w:next w:val="1112"/>
    <w:link w:val="11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1141" w:customStyle="1">
    <w:name w:val="Заголовок 81"/>
    <w:basedOn w:val="1112"/>
    <w:next w:val="1112"/>
    <w:link w:val="115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1142" w:customStyle="1">
    <w:name w:val="Заголовок 91"/>
    <w:basedOn w:val="1112"/>
    <w:next w:val="1112"/>
    <w:link w:val="11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143" w:customStyle="1">
    <w:name w:val="Заголовок 1 Знак"/>
    <w:basedOn w:val="1114"/>
    <w:link w:val="1134"/>
    <w:uiPriority w:val="9"/>
    <w:rPr>
      <w:rFonts w:ascii="Arial" w:hAnsi="Arial" w:eastAsia="Arial" w:cs="Arial"/>
      <w:sz w:val="40"/>
      <w:szCs w:val="40"/>
    </w:rPr>
  </w:style>
  <w:style w:type="character" w:styleId="1144" w:customStyle="1">
    <w:name w:val="Заголовок 2 Знак"/>
    <w:basedOn w:val="1114"/>
    <w:link w:val="1135"/>
    <w:uiPriority w:val="9"/>
    <w:rPr>
      <w:rFonts w:ascii="Arial" w:hAnsi="Arial" w:eastAsia="Arial" w:cs="Arial"/>
      <w:sz w:val="34"/>
    </w:rPr>
  </w:style>
  <w:style w:type="character" w:styleId="1145" w:customStyle="1">
    <w:name w:val="Заголовок 3 Знак"/>
    <w:basedOn w:val="1114"/>
    <w:link w:val="1136"/>
    <w:uiPriority w:val="9"/>
    <w:rPr>
      <w:rFonts w:ascii="Arial" w:hAnsi="Arial" w:eastAsia="Arial" w:cs="Arial"/>
      <w:sz w:val="30"/>
      <w:szCs w:val="30"/>
    </w:rPr>
  </w:style>
  <w:style w:type="character" w:styleId="1146" w:customStyle="1">
    <w:name w:val="Заголовок 4 Знак"/>
    <w:basedOn w:val="1114"/>
    <w:link w:val="1137"/>
    <w:uiPriority w:val="9"/>
    <w:rPr>
      <w:rFonts w:ascii="Arial" w:hAnsi="Arial" w:eastAsia="Arial" w:cs="Arial"/>
      <w:b/>
      <w:bCs/>
      <w:sz w:val="26"/>
      <w:szCs w:val="26"/>
    </w:rPr>
  </w:style>
  <w:style w:type="character" w:styleId="1147" w:customStyle="1">
    <w:name w:val="Заголовок 5 Знак"/>
    <w:basedOn w:val="1114"/>
    <w:link w:val="1138"/>
    <w:uiPriority w:val="9"/>
    <w:rPr>
      <w:rFonts w:ascii="Arial" w:hAnsi="Arial" w:eastAsia="Arial" w:cs="Arial"/>
      <w:b/>
      <w:bCs/>
      <w:sz w:val="24"/>
      <w:szCs w:val="24"/>
    </w:rPr>
  </w:style>
  <w:style w:type="character" w:styleId="1148" w:customStyle="1">
    <w:name w:val="Заголовок 6 Знак"/>
    <w:basedOn w:val="1114"/>
    <w:link w:val="1139"/>
    <w:uiPriority w:val="9"/>
    <w:rPr>
      <w:rFonts w:ascii="Arial" w:hAnsi="Arial" w:eastAsia="Arial" w:cs="Arial"/>
      <w:b/>
      <w:bCs/>
      <w:sz w:val="22"/>
      <w:szCs w:val="22"/>
    </w:rPr>
  </w:style>
  <w:style w:type="character" w:styleId="1149" w:customStyle="1">
    <w:name w:val="Заголовок 7 Знак"/>
    <w:basedOn w:val="1114"/>
    <w:link w:val="114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150" w:customStyle="1">
    <w:name w:val="Заголовок 8 Знак"/>
    <w:basedOn w:val="1114"/>
    <w:link w:val="1141"/>
    <w:uiPriority w:val="9"/>
    <w:rPr>
      <w:rFonts w:ascii="Arial" w:hAnsi="Arial" w:eastAsia="Arial" w:cs="Arial"/>
      <w:i/>
      <w:iCs/>
      <w:sz w:val="22"/>
      <w:szCs w:val="22"/>
    </w:rPr>
  </w:style>
  <w:style w:type="character" w:styleId="1151" w:customStyle="1">
    <w:name w:val="Заголовок 9 Знак"/>
    <w:basedOn w:val="1114"/>
    <w:link w:val="1142"/>
    <w:uiPriority w:val="9"/>
    <w:rPr>
      <w:rFonts w:ascii="Arial" w:hAnsi="Arial" w:eastAsia="Arial" w:cs="Arial"/>
      <w:i/>
      <w:iCs/>
      <w:sz w:val="21"/>
      <w:szCs w:val="21"/>
    </w:rPr>
  </w:style>
  <w:style w:type="paragraph" w:styleId="1152">
    <w:name w:val="No Spacing"/>
    <w:uiPriority w:val="1"/>
    <w:qFormat/>
    <w:pPr>
      <w:spacing w:after="0" w:line="240" w:lineRule="auto"/>
    </w:pPr>
  </w:style>
  <w:style w:type="character" w:styleId="1153" w:customStyle="1">
    <w:name w:val="Название Знак"/>
    <w:basedOn w:val="1114"/>
    <w:link w:val="1310"/>
    <w:uiPriority w:val="10"/>
    <w:rPr>
      <w:sz w:val="48"/>
      <w:szCs w:val="48"/>
    </w:rPr>
  </w:style>
  <w:style w:type="character" w:styleId="1154" w:customStyle="1">
    <w:name w:val="Подзаголовок Знак"/>
    <w:basedOn w:val="1114"/>
    <w:link w:val="1311"/>
    <w:uiPriority w:val="11"/>
    <w:rPr>
      <w:sz w:val="24"/>
      <w:szCs w:val="24"/>
    </w:rPr>
  </w:style>
  <w:style w:type="paragraph" w:styleId="1155">
    <w:name w:val="Quote"/>
    <w:basedOn w:val="1112"/>
    <w:next w:val="1112"/>
    <w:link w:val="1156"/>
    <w:uiPriority w:val="29"/>
    <w:qFormat/>
    <w:pPr>
      <w:ind w:left="720" w:right="720"/>
    </w:pPr>
    <w:rPr>
      <w:i/>
    </w:rPr>
  </w:style>
  <w:style w:type="character" w:styleId="1156" w:customStyle="1">
    <w:name w:val="Цитата 2 Знак"/>
    <w:link w:val="1155"/>
    <w:uiPriority w:val="29"/>
    <w:rPr>
      <w:i/>
    </w:rPr>
  </w:style>
  <w:style w:type="paragraph" w:styleId="1157">
    <w:name w:val="Intense Quote"/>
    <w:basedOn w:val="1112"/>
    <w:next w:val="1112"/>
    <w:link w:val="115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158" w:customStyle="1">
    <w:name w:val="Выделенная цитата Знак"/>
    <w:link w:val="1157"/>
    <w:uiPriority w:val="30"/>
    <w:rPr>
      <w:i/>
    </w:rPr>
  </w:style>
  <w:style w:type="paragraph" w:styleId="1159" w:customStyle="1">
    <w:name w:val="Верхний колонтитул1"/>
    <w:basedOn w:val="1112"/>
    <w:link w:val="116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160" w:customStyle="1">
    <w:name w:val="Верхний колонтитул Знак"/>
    <w:basedOn w:val="1114"/>
    <w:link w:val="1159"/>
    <w:uiPriority w:val="99"/>
  </w:style>
  <w:style w:type="paragraph" w:styleId="1161" w:customStyle="1">
    <w:name w:val="Нижний колонтитул1"/>
    <w:basedOn w:val="1112"/>
    <w:link w:val="11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162" w:customStyle="1">
    <w:name w:val="Footer Char"/>
    <w:basedOn w:val="1114"/>
    <w:uiPriority w:val="99"/>
  </w:style>
  <w:style w:type="paragraph" w:styleId="1163" w:customStyle="1">
    <w:name w:val="Название объекта1"/>
    <w:basedOn w:val="1112"/>
    <w:next w:val="111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1164" w:customStyle="1">
    <w:name w:val="Нижний колонтитул Знак"/>
    <w:link w:val="1161"/>
    <w:uiPriority w:val="99"/>
  </w:style>
  <w:style w:type="table" w:styleId="1165">
    <w:name w:val="Table Grid"/>
    <w:basedOn w:val="111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166" w:customStyle="1">
    <w:name w:val="Table Grid Light"/>
    <w:basedOn w:val="111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167" w:customStyle="1">
    <w:name w:val="Таблица простая 11"/>
    <w:basedOn w:val="111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168" w:customStyle="1">
    <w:name w:val="Таблица простая 21"/>
    <w:basedOn w:val="1115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169" w:customStyle="1">
    <w:name w:val="Таблица простая 31"/>
    <w:basedOn w:val="111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170" w:customStyle="1">
    <w:name w:val="Таблица простая 41"/>
    <w:basedOn w:val="111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1" w:customStyle="1">
    <w:name w:val="Таблица простая 51"/>
    <w:basedOn w:val="111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172" w:customStyle="1">
    <w:name w:val="Таблица-сетка 1 светлая1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3" w:customStyle="1">
    <w:name w:val="Grid Table 1 Light - Accent 1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4" w:customStyle="1">
    <w:name w:val="Grid Table 1 Light - Accent 2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5" w:customStyle="1">
    <w:name w:val="Grid Table 1 Light - Accent 3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6" w:customStyle="1">
    <w:name w:val="Grid Table 1 Light - Accent 4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7" w:customStyle="1">
    <w:name w:val="Grid Table 1 Light - Accent 5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8" w:customStyle="1">
    <w:name w:val="Grid Table 1 Light - Accent 6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9" w:customStyle="1">
    <w:name w:val="Таблица-сетка 21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0" w:customStyle="1">
    <w:name w:val="Grid Table 2 - Accent 1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1" w:customStyle="1">
    <w:name w:val="Grid Table 2 - Accent 2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2" w:customStyle="1">
    <w:name w:val="Grid Table 2 - Accent 3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3" w:customStyle="1">
    <w:name w:val="Grid Table 2 - Accent 4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4" w:customStyle="1">
    <w:name w:val="Grid Table 2 - Accent 5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5" w:customStyle="1">
    <w:name w:val="Grid Table 2 - Accent 6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6" w:customStyle="1">
    <w:name w:val="Таблица-сетка 31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7" w:customStyle="1">
    <w:name w:val="Grid Table 3 - Accent 1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8" w:customStyle="1">
    <w:name w:val="Grid Table 3 - Accent 2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89" w:customStyle="1">
    <w:name w:val="Grid Table 3 - Accent 3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90" w:customStyle="1">
    <w:name w:val="Grid Table 3 - Accent 4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91" w:customStyle="1">
    <w:name w:val="Grid Table 3 - Accent 5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92" w:customStyle="1">
    <w:name w:val="Grid Table 3 - Accent 6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93" w:customStyle="1">
    <w:name w:val="Таблица-сетка 41"/>
    <w:basedOn w:val="1115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194" w:customStyle="1">
    <w:name w:val="Grid Table 4 - Accent 1"/>
    <w:basedOn w:val="1115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1195" w:customStyle="1">
    <w:name w:val="Grid Table 4 - Accent 2"/>
    <w:basedOn w:val="1115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1196" w:customStyle="1">
    <w:name w:val="Grid Table 4 - Accent 3"/>
    <w:basedOn w:val="1115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1197" w:customStyle="1">
    <w:name w:val="Grid Table 4 - Accent 4"/>
    <w:basedOn w:val="1115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1198" w:customStyle="1">
    <w:name w:val="Grid Table 4 - Accent 5"/>
    <w:basedOn w:val="1115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1199" w:customStyle="1">
    <w:name w:val="Grid Table 4 - Accent 6"/>
    <w:basedOn w:val="111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1200" w:customStyle="1">
    <w:name w:val="Таблица-сетка 5 темная1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201" w:customStyle="1">
    <w:name w:val="Grid Table 5 Dark- Accent 1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1202" w:customStyle="1">
    <w:name w:val="Grid Table 5 Dark - Accent 2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1203" w:customStyle="1">
    <w:name w:val="Grid Table 5 Dark - Accent 3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1204" w:customStyle="1">
    <w:name w:val="Grid Table 5 Dark- Accent 4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1205" w:customStyle="1">
    <w:name w:val="Grid Table 5 Dark - Accent 5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1206" w:customStyle="1">
    <w:name w:val="Grid Table 5 Dark - Accent 6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1207" w:customStyle="1">
    <w:name w:val="Таблица-сетка 6 цветная1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208" w:customStyle="1">
    <w:name w:val="Grid Table 6 Colorful - Accent 1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1209" w:customStyle="1">
    <w:name w:val="Grid Table 6 Colorful - Accent 2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1210" w:customStyle="1">
    <w:name w:val="Grid Table 6 Colorful - Accent 3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1211" w:customStyle="1">
    <w:name w:val="Grid Table 6 Colorful - Accent 4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1212" w:customStyle="1">
    <w:name w:val="Grid Table 6 Colorful - Accent 5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213" w:customStyle="1">
    <w:name w:val="Grid Table 6 Colorful - Accent 6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1214" w:customStyle="1">
    <w:name w:val="Таблица-сетка 7 цветная1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15" w:customStyle="1">
    <w:name w:val="Grid Table 7 Colorful - Accent 1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16" w:customStyle="1">
    <w:name w:val="Grid Table 7 Colorful - Accent 2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17" w:customStyle="1">
    <w:name w:val="Grid Table 7 Colorful - Accent 3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18" w:customStyle="1">
    <w:name w:val="Grid Table 7 Colorful - Accent 4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19" w:customStyle="1">
    <w:name w:val="Grid Table 7 Colorful - Accent 5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20" w:customStyle="1">
    <w:name w:val="Grid Table 7 Colorful - Accent 6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21" w:customStyle="1">
    <w:name w:val="Список-таблица 1 светлая1"/>
    <w:basedOn w:val="111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2" w:customStyle="1">
    <w:name w:val="List Table 1 Light - Accent 1"/>
    <w:basedOn w:val="111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3" w:customStyle="1">
    <w:name w:val="List Table 1 Light - Accent 2"/>
    <w:basedOn w:val="111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4" w:customStyle="1">
    <w:name w:val="List Table 1 Light - Accent 3"/>
    <w:basedOn w:val="111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5" w:customStyle="1">
    <w:name w:val="List Table 1 Light - Accent 4"/>
    <w:basedOn w:val="111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6" w:customStyle="1">
    <w:name w:val="List Table 1 Light - Accent 5"/>
    <w:basedOn w:val="111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7" w:customStyle="1">
    <w:name w:val="List Table 1 Light - Accent 6"/>
    <w:basedOn w:val="111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8" w:customStyle="1">
    <w:name w:val="Список-таблица 21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229" w:customStyle="1">
    <w:name w:val="List Table 2 - Accent 1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1230" w:customStyle="1">
    <w:name w:val="List Table 2 - Accent 2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1231" w:customStyle="1">
    <w:name w:val="List Table 2 - Accent 3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1232" w:customStyle="1">
    <w:name w:val="List Table 2 - Accent 4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1233" w:customStyle="1">
    <w:name w:val="List Table 2 - Accent 5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1234" w:customStyle="1">
    <w:name w:val="List Table 2 - Accent 6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1235" w:customStyle="1">
    <w:name w:val="Список-таблица 31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6" w:customStyle="1">
    <w:name w:val="List Table 3 - Accent 1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7" w:customStyle="1">
    <w:name w:val="List Table 3 - Accent 2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8" w:customStyle="1">
    <w:name w:val="List Table 3 - Accent 3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9" w:customStyle="1">
    <w:name w:val="List Table 3 - Accent 4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0" w:customStyle="1">
    <w:name w:val="List Table 3 - Accent 5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1" w:customStyle="1">
    <w:name w:val="List Table 3 - Accent 6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2" w:customStyle="1">
    <w:name w:val="Список-таблица 41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3" w:customStyle="1">
    <w:name w:val="List Table 4 - Accent 1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4" w:customStyle="1">
    <w:name w:val="List Table 4 - Accent 2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5" w:customStyle="1">
    <w:name w:val="List Table 4 - Accent 3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6" w:customStyle="1">
    <w:name w:val="List Table 4 - Accent 4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7" w:customStyle="1">
    <w:name w:val="List Table 4 - Accent 5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8" w:customStyle="1">
    <w:name w:val="List Table 4 - Accent 6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9" w:customStyle="1">
    <w:name w:val="Список-таблица 5 темная1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50" w:customStyle="1">
    <w:name w:val="List Table 5 Dark - Accent 1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51" w:customStyle="1">
    <w:name w:val="List Table 5 Dark - Accent 2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52" w:customStyle="1">
    <w:name w:val="List Table 5 Dark - Accent 3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53" w:customStyle="1">
    <w:name w:val="List Table 5 Dark - Accent 4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54" w:customStyle="1">
    <w:name w:val="List Table 5 Dark - Accent 5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55" w:customStyle="1">
    <w:name w:val="List Table 5 Dark - Accent 6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56" w:customStyle="1">
    <w:name w:val="Список-таблица 6 цветная1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257" w:customStyle="1">
    <w:name w:val="List Table 6 Colorful - Accent 1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1258" w:customStyle="1">
    <w:name w:val="List Table 6 Colorful - Accent 2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1259" w:customStyle="1">
    <w:name w:val="List Table 6 Colorful - Accent 3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1260" w:customStyle="1">
    <w:name w:val="List Table 6 Colorful - Accent 4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1261" w:customStyle="1">
    <w:name w:val="List Table 6 Colorful - Accent 5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1262" w:customStyle="1">
    <w:name w:val="List Table 6 Colorful - Accent 6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1263" w:customStyle="1">
    <w:name w:val="Список-таблица 7 цветная1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64" w:customStyle="1">
    <w:name w:val="List Table 7 Colorful - Accent 1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65" w:customStyle="1">
    <w:name w:val="List Table 7 Colorful - Accent 2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66" w:customStyle="1">
    <w:name w:val="List Table 7 Colorful - Accent 3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67" w:customStyle="1">
    <w:name w:val="List Table 7 Colorful - Accent 4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68" w:customStyle="1">
    <w:name w:val="List Table 7 Colorful - Accent 5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69" w:customStyle="1">
    <w:name w:val="List Table 7 Colorful - Accent 6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270" w:customStyle="1">
    <w:name w:val="Lined - Accent"/>
    <w:basedOn w:val="111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271" w:customStyle="1">
    <w:name w:val="Lined - Accent 1"/>
    <w:basedOn w:val="111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272" w:customStyle="1">
    <w:name w:val="Lined - Accent 2"/>
    <w:basedOn w:val="111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273" w:customStyle="1">
    <w:name w:val="Lined - Accent 3"/>
    <w:basedOn w:val="111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274" w:customStyle="1">
    <w:name w:val="Lined - Accent 4"/>
    <w:basedOn w:val="111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275" w:customStyle="1">
    <w:name w:val="Lined - Accent 5"/>
    <w:basedOn w:val="111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276" w:customStyle="1">
    <w:name w:val="Lined - Accent 6"/>
    <w:basedOn w:val="111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277" w:customStyle="1">
    <w:name w:val="Bordered &amp; Lined - Accent"/>
    <w:basedOn w:val="111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278" w:customStyle="1">
    <w:name w:val="Bordered &amp; Lined - Accent 1"/>
    <w:basedOn w:val="111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279" w:customStyle="1">
    <w:name w:val="Bordered &amp; Lined - Accent 2"/>
    <w:basedOn w:val="111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280" w:customStyle="1">
    <w:name w:val="Bordered &amp; Lined - Accent 3"/>
    <w:basedOn w:val="111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281" w:customStyle="1">
    <w:name w:val="Bordered &amp; Lined - Accent 4"/>
    <w:basedOn w:val="111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282" w:customStyle="1">
    <w:name w:val="Bordered &amp; Lined - Accent 5"/>
    <w:basedOn w:val="111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283" w:customStyle="1">
    <w:name w:val="Bordered &amp; Lined - Accent 6"/>
    <w:basedOn w:val="1115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284" w:customStyle="1">
    <w:name w:val="Bordered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285" w:customStyle="1">
    <w:name w:val="Bordered - Accent 1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286" w:customStyle="1">
    <w:name w:val="Bordered - Accent 2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287" w:customStyle="1">
    <w:name w:val="Bordered - Accent 3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288" w:customStyle="1">
    <w:name w:val="Bordered - Accent 4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289" w:customStyle="1">
    <w:name w:val="Bordered - Accent 5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290" w:customStyle="1">
    <w:name w:val="Bordered - Accent 6"/>
    <w:basedOn w:val="111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1291">
    <w:name w:val="Hyperlink"/>
    <w:uiPriority w:val="99"/>
    <w:unhideWhenUsed/>
    <w:rPr>
      <w:color w:val="0000ff" w:themeColor="hyperlink"/>
      <w:u w:val="single"/>
    </w:rPr>
  </w:style>
  <w:style w:type="paragraph" w:styleId="1292">
    <w:name w:val="footnote text"/>
    <w:basedOn w:val="1112"/>
    <w:link w:val="1293"/>
    <w:uiPriority w:val="99"/>
    <w:semiHidden/>
    <w:unhideWhenUsed/>
    <w:pPr>
      <w:spacing w:after="40" w:line="240" w:lineRule="auto"/>
    </w:pPr>
    <w:rPr>
      <w:sz w:val="18"/>
    </w:rPr>
  </w:style>
  <w:style w:type="character" w:styleId="1293" w:customStyle="1">
    <w:name w:val="Текст сноски Знак"/>
    <w:link w:val="1292"/>
    <w:uiPriority w:val="99"/>
    <w:rPr>
      <w:sz w:val="18"/>
    </w:rPr>
  </w:style>
  <w:style w:type="character" w:styleId="1294">
    <w:name w:val="footnote reference"/>
    <w:basedOn w:val="1114"/>
    <w:uiPriority w:val="99"/>
    <w:unhideWhenUsed/>
    <w:rPr>
      <w:vertAlign w:val="superscript"/>
    </w:rPr>
  </w:style>
  <w:style w:type="paragraph" w:styleId="1295">
    <w:name w:val="endnote text"/>
    <w:basedOn w:val="1112"/>
    <w:link w:val="1296"/>
    <w:uiPriority w:val="99"/>
    <w:semiHidden/>
    <w:unhideWhenUsed/>
    <w:pPr>
      <w:spacing w:after="0" w:line="240" w:lineRule="auto"/>
    </w:pPr>
    <w:rPr>
      <w:sz w:val="20"/>
    </w:rPr>
  </w:style>
  <w:style w:type="character" w:styleId="1296" w:customStyle="1">
    <w:name w:val="Текст концевой сноски Знак"/>
    <w:link w:val="1295"/>
    <w:uiPriority w:val="99"/>
    <w:rPr>
      <w:sz w:val="20"/>
    </w:rPr>
  </w:style>
  <w:style w:type="character" w:styleId="1297">
    <w:name w:val="endnote reference"/>
    <w:basedOn w:val="1114"/>
    <w:uiPriority w:val="99"/>
    <w:semiHidden/>
    <w:unhideWhenUsed/>
    <w:rPr>
      <w:vertAlign w:val="superscript"/>
    </w:rPr>
  </w:style>
  <w:style w:type="paragraph" w:styleId="1298">
    <w:name w:val="toc 1"/>
    <w:basedOn w:val="1112"/>
    <w:next w:val="1112"/>
    <w:uiPriority w:val="39"/>
    <w:unhideWhenUsed/>
    <w:pPr>
      <w:spacing w:after="57"/>
    </w:pPr>
  </w:style>
  <w:style w:type="paragraph" w:styleId="1299">
    <w:name w:val="toc 2"/>
    <w:basedOn w:val="1112"/>
    <w:next w:val="1112"/>
    <w:uiPriority w:val="39"/>
    <w:unhideWhenUsed/>
    <w:pPr>
      <w:ind w:left="283"/>
      <w:spacing w:after="57"/>
    </w:pPr>
  </w:style>
  <w:style w:type="paragraph" w:styleId="1300">
    <w:name w:val="toc 3"/>
    <w:basedOn w:val="1112"/>
    <w:next w:val="1112"/>
    <w:uiPriority w:val="39"/>
    <w:unhideWhenUsed/>
    <w:pPr>
      <w:ind w:left="567"/>
      <w:spacing w:after="57"/>
    </w:pPr>
  </w:style>
  <w:style w:type="paragraph" w:styleId="1301">
    <w:name w:val="toc 4"/>
    <w:basedOn w:val="1112"/>
    <w:next w:val="1112"/>
    <w:uiPriority w:val="39"/>
    <w:unhideWhenUsed/>
    <w:pPr>
      <w:ind w:left="850"/>
      <w:spacing w:after="57"/>
    </w:pPr>
  </w:style>
  <w:style w:type="paragraph" w:styleId="1302">
    <w:name w:val="toc 5"/>
    <w:basedOn w:val="1112"/>
    <w:next w:val="1112"/>
    <w:uiPriority w:val="39"/>
    <w:unhideWhenUsed/>
    <w:pPr>
      <w:ind w:left="1134"/>
      <w:spacing w:after="57"/>
    </w:pPr>
  </w:style>
  <w:style w:type="paragraph" w:styleId="1303">
    <w:name w:val="toc 6"/>
    <w:basedOn w:val="1112"/>
    <w:next w:val="1112"/>
    <w:uiPriority w:val="39"/>
    <w:unhideWhenUsed/>
    <w:pPr>
      <w:ind w:left="1417"/>
      <w:spacing w:after="57"/>
    </w:pPr>
  </w:style>
  <w:style w:type="paragraph" w:styleId="1304">
    <w:name w:val="toc 7"/>
    <w:basedOn w:val="1112"/>
    <w:next w:val="1112"/>
    <w:uiPriority w:val="39"/>
    <w:unhideWhenUsed/>
    <w:pPr>
      <w:ind w:left="1701"/>
      <w:spacing w:after="57"/>
    </w:pPr>
  </w:style>
  <w:style w:type="paragraph" w:styleId="1305">
    <w:name w:val="toc 8"/>
    <w:basedOn w:val="1112"/>
    <w:next w:val="1112"/>
    <w:uiPriority w:val="39"/>
    <w:unhideWhenUsed/>
    <w:pPr>
      <w:ind w:left="1984"/>
      <w:spacing w:after="57"/>
    </w:pPr>
  </w:style>
  <w:style w:type="paragraph" w:styleId="1306">
    <w:name w:val="toc 9"/>
    <w:basedOn w:val="1112"/>
    <w:next w:val="1112"/>
    <w:uiPriority w:val="39"/>
    <w:unhideWhenUsed/>
    <w:pPr>
      <w:ind w:left="2268"/>
      <w:spacing w:after="57"/>
    </w:pPr>
  </w:style>
  <w:style w:type="paragraph" w:styleId="1307">
    <w:name w:val="TOC Heading"/>
    <w:uiPriority w:val="39"/>
    <w:unhideWhenUsed/>
  </w:style>
  <w:style w:type="paragraph" w:styleId="1308">
    <w:name w:val="table of figures"/>
    <w:basedOn w:val="1112"/>
    <w:next w:val="1112"/>
    <w:uiPriority w:val="99"/>
    <w:unhideWhenUsed/>
    <w:pPr>
      <w:spacing w:after="0"/>
    </w:pPr>
  </w:style>
  <w:style w:type="table" w:styleId="1309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1310">
    <w:name w:val="Title"/>
    <w:basedOn w:val="1112"/>
    <w:next w:val="1112"/>
    <w:link w:val="1153"/>
    <w:pPr>
      <w:keepLines/>
      <w:keepNext/>
      <w:spacing w:before="480" w:after="120"/>
    </w:pPr>
    <w:rPr>
      <w:b/>
      <w:sz w:val="72"/>
      <w:szCs w:val="72"/>
    </w:rPr>
  </w:style>
  <w:style w:type="paragraph" w:styleId="1311">
    <w:name w:val="Subtitle"/>
    <w:basedOn w:val="1112"/>
    <w:next w:val="1112"/>
    <w:link w:val="1154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1312" w:customStyle="1">
    <w:name w:val="StGen0"/>
    <w:basedOn w:val="130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313" w:customStyle="1">
    <w:name w:val="StGen1"/>
    <w:basedOn w:val="1309"/>
    <w:tblPr>
      <w:tblStyleRowBandSize w:val="1"/>
      <w:tblStyleColBandSize w:val="1"/>
    </w:tblPr>
  </w:style>
  <w:style w:type="table" w:styleId="1314" w:customStyle="1">
    <w:name w:val="StGen2"/>
    <w:basedOn w:val="1309"/>
    <w:tblPr>
      <w:tblStyleRowBandSize w:val="1"/>
      <w:tblStyleColBandSize w:val="1"/>
    </w:tblPr>
  </w:style>
  <w:style w:type="table" w:styleId="1315" w:customStyle="1">
    <w:name w:val="StGen3"/>
    <w:basedOn w:val="130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316" w:customStyle="1">
    <w:name w:val="StGen4"/>
    <w:basedOn w:val="130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17" w:customStyle="1">
    <w:name w:val="StGen5"/>
    <w:basedOn w:val="1309"/>
    <w:tblPr>
      <w:tblStyleRowBandSize w:val="1"/>
      <w:tblStyleColBandSize w:val="1"/>
    </w:tblPr>
  </w:style>
  <w:style w:type="table" w:styleId="1318" w:customStyle="1">
    <w:name w:val="StGen6"/>
    <w:basedOn w:val="130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19" w:customStyle="1">
    <w:name w:val="StGen7"/>
    <w:basedOn w:val="130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20" w:customStyle="1">
    <w:name w:val="StGen8"/>
    <w:basedOn w:val="130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21" w:customStyle="1">
    <w:name w:val="StGen9"/>
    <w:basedOn w:val="130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22" w:customStyle="1">
    <w:name w:val="StGen10"/>
    <w:basedOn w:val="130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23" w:customStyle="1">
    <w:name w:val="StGen11"/>
    <w:basedOn w:val="130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24" w:customStyle="1">
    <w:name w:val="StGen12"/>
    <w:basedOn w:val="130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325" w:customStyle="1">
    <w:name w:val="StGen13"/>
    <w:basedOn w:val="1309"/>
    <w:tblPr>
      <w:tblStyleRowBandSize w:val="1"/>
      <w:tblStyleColBandSize w:val="1"/>
      <w:tblCellMar>
        <w:left w:w="62" w:type="dxa"/>
        <w:top w:w="102" w:type="dxa"/>
        <w:right w:w="62" w:type="dxa"/>
        <w:bottom w:w="102" w:type="dxa"/>
      </w:tblCellMar>
    </w:tblPr>
  </w:style>
  <w:style w:type="table" w:styleId="1326" w:customStyle="1">
    <w:name w:val="StGen14"/>
    <w:basedOn w:val="1309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1327">
    <w:name w:val="annotation reference"/>
    <w:basedOn w:val="1114"/>
    <w:uiPriority w:val="99"/>
    <w:semiHidden/>
    <w:unhideWhenUsed/>
    <w:rPr>
      <w:sz w:val="16"/>
      <w:szCs w:val="16"/>
    </w:rPr>
  </w:style>
  <w:style w:type="paragraph" w:styleId="1328">
    <w:name w:val="annotation text"/>
    <w:basedOn w:val="1112"/>
    <w:link w:val="1329"/>
    <w:uiPriority w:val="99"/>
    <w:unhideWhenUsed/>
    <w:pPr>
      <w:spacing w:line="240" w:lineRule="auto"/>
    </w:pPr>
    <w:rPr>
      <w:sz w:val="20"/>
      <w:szCs w:val="20"/>
    </w:rPr>
  </w:style>
  <w:style w:type="character" w:styleId="1329" w:customStyle="1">
    <w:name w:val="Текст примечания Знак"/>
    <w:basedOn w:val="1114"/>
    <w:link w:val="1328"/>
    <w:uiPriority w:val="99"/>
    <w:rPr>
      <w:sz w:val="20"/>
      <w:szCs w:val="20"/>
    </w:rPr>
  </w:style>
  <w:style w:type="paragraph" w:styleId="1330">
    <w:name w:val="annotation subject"/>
    <w:basedOn w:val="1328"/>
    <w:next w:val="1328"/>
    <w:link w:val="1331"/>
    <w:uiPriority w:val="99"/>
    <w:semiHidden/>
    <w:unhideWhenUsed/>
    <w:rPr>
      <w:b/>
      <w:bCs/>
    </w:rPr>
  </w:style>
  <w:style w:type="character" w:styleId="1331" w:customStyle="1">
    <w:name w:val="Тема примечания Знак"/>
    <w:basedOn w:val="1329"/>
    <w:link w:val="1330"/>
    <w:uiPriority w:val="99"/>
    <w:semiHidden/>
    <w:rPr>
      <w:b/>
      <w:bCs/>
      <w:sz w:val="20"/>
      <w:szCs w:val="20"/>
    </w:rPr>
  </w:style>
  <w:style w:type="paragraph" w:styleId="1332">
    <w:name w:val="Balloon Text"/>
    <w:basedOn w:val="1112"/>
    <w:link w:val="133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1333" w:customStyle="1">
    <w:name w:val="Текст выноски Знак"/>
    <w:basedOn w:val="1114"/>
    <w:link w:val="1332"/>
    <w:uiPriority w:val="99"/>
    <w:semiHidden/>
    <w:rPr>
      <w:rFonts w:ascii="Segoe UI" w:hAnsi="Segoe UI" w:cs="Segoe UI"/>
      <w:sz w:val="18"/>
      <w:szCs w:val="18"/>
    </w:rPr>
  </w:style>
  <w:style w:type="paragraph" w:styleId="1334">
    <w:name w:val="List Paragraph"/>
    <w:basedOn w:val="1112"/>
    <w:uiPriority w:val="34"/>
    <w:qFormat/>
    <w:pPr>
      <w:contextualSpacing/>
      <w:ind w:left="720"/>
    </w:pPr>
  </w:style>
  <w:style w:type="paragraph" w:styleId="1335">
    <w:name w:val="Revision"/>
    <w:hidden/>
    <w:uiPriority w:val="99"/>
    <w:semiHidden/>
    <w:pPr>
      <w:spacing w:after="0" w:line="240" w:lineRule="auto"/>
    </w:pPr>
  </w:style>
  <w:style w:type="character" w:styleId="1336" w:customStyle="1">
    <w:name w:val="Заголовок 1 Знак1"/>
    <w:basedOn w:val="1114"/>
    <w:link w:val="1113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1337">
    <w:name w:val="Header"/>
    <w:basedOn w:val="1112"/>
    <w:link w:val="133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338" w:customStyle="1">
    <w:name w:val="Верхний колонтитул Знак1"/>
    <w:basedOn w:val="1114"/>
    <w:link w:val="1337"/>
    <w:uiPriority w:val="99"/>
  </w:style>
  <w:style w:type="paragraph" w:styleId="1339">
    <w:name w:val="Footer"/>
    <w:basedOn w:val="1112"/>
    <w:link w:val="134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340" w:customStyle="1">
    <w:name w:val="Нижний колонтитул Знак1"/>
    <w:basedOn w:val="1114"/>
    <w:link w:val="1339"/>
    <w:uiPriority w:val="99"/>
  </w:style>
  <w:style w:type="paragraph" w:styleId="1341" w:customStyle="1">
    <w:name w:val="Обычный1"/>
  </w:style>
  <w:style w:type="paragraph" w:styleId="1342" w:customStyle="1">
    <w:name w:val="Обычный2"/>
  </w:style>
  <w:style w:type="character" w:styleId="1343" w:customStyle="1">
    <w:name w:val="search_result"/>
    <w:basedOn w:val="1114"/>
  </w:style>
  <w:style w:type="character" w:styleId="1344" w:customStyle="1">
    <w:name w:val="message-time"/>
    <w:basedOn w:val="1114"/>
  </w:style>
  <w:style w:type="character" w:styleId="1345" w:customStyle="1">
    <w:name w:val="placeholder-text"/>
    <w:basedOn w:val="1114"/>
  </w:style>
  <w:style w:type="paragraph" w:styleId="1346" w:customStyle="1">
    <w:name w:val="228bf8a64b8551e1msonormal"/>
    <w:basedOn w:val="1112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1347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nlyoffice.com/commentsDocument" Target="commentsDocument.xml" /><Relationship Id="rId17" Type="http://schemas.onlyoffice.com/commentsExtendedDocument" Target="commentsExtendedDocument.xml" /><Relationship Id="rId18" Type="http://schemas.onlyoffice.com/commentsExtensibleDocument" Target="commentsExtensibleDocument.xml" /><Relationship Id="rId19" Type="http://schemas.onlyoffice.com/commentsIdsDocument" Target="commentsIdsDocument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D3473-F2BD-4FCD-B6DA-F01393863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Черненкова Светлана Владимировна</dc:creator>
  <cp:revision>10</cp:revision>
  <dcterms:created xsi:type="dcterms:W3CDTF">2024-01-09T13:53:00Z</dcterms:created>
  <dcterms:modified xsi:type="dcterms:W3CDTF">2025-09-11T08:03:17Z</dcterms:modified>
</cp:coreProperties>
</file>